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共青科技职业学院</w:t>
      </w:r>
      <w:r>
        <w:rPr>
          <w:rFonts w:hint="eastAsia" w:ascii="宋体" w:hAnsi="宋体" w:eastAsia="宋体" w:cs="宋体"/>
          <w:b/>
          <w:bCs/>
          <w:color w:val="auto"/>
          <w:sz w:val="44"/>
          <w:szCs w:val="44"/>
        </w:rPr>
        <w:t>安全专项整治三年行动</w:t>
      </w:r>
    </w:p>
    <w:p>
      <w:pPr>
        <w:spacing w:line="680" w:lineRule="exact"/>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实施方案</w:t>
      </w:r>
    </w:p>
    <w:p>
      <w:pPr>
        <w:widowControl/>
        <w:jc w:val="center"/>
        <w:rPr>
          <w:rFonts w:hint="eastAsia" w:ascii="宋体" w:hAnsi="宋体" w:eastAsia="宋体" w:cs="宋体"/>
          <w:color w:val="auto"/>
          <w:spacing w:val="-6"/>
          <w:sz w:val="44"/>
          <w:szCs w:val="44"/>
        </w:rPr>
      </w:pPr>
      <w:bookmarkStart w:id="0" w:name="_GoBack"/>
      <w:bookmarkEnd w:id="0"/>
    </w:p>
    <w:p>
      <w:pPr>
        <w:jc w:val="center"/>
        <w:rPr>
          <w:rFonts w:hint="eastAsia" w:ascii="宋体" w:hAnsi="宋体" w:eastAsia="宋体" w:cs="宋体"/>
          <w:color w:val="auto"/>
          <w:sz w:val="32"/>
          <w:szCs w:val="32"/>
        </w:rPr>
      </w:pPr>
    </w:p>
    <w:p>
      <w:pPr>
        <w:jc w:val="left"/>
        <w:rPr>
          <w:rFonts w:hint="eastAsia" w:ascii="宋体" w:hAnsi="宋体" w:eastAsia="宋体" w:cs="宋体"/>
          <w:b w:val="0"/>
          <w:bCs w:val="0"/>
          <w:color w:val="auto"/>
          <w:sz w:val="32"/>
          <w:szCs w:val="32"/>
          <w:lang w:eastAsia="zh-CN"/>
        </w:rPr>
      </w:pPr>
      <w:r>
        <w:rPr>
          <w:rFonts w:hint="eastAsia" w:ascii="宋体" w:hAnsi="宋体" w:eastAsia="宋体" w:cs="宋体"/>
          <w:b w:val="0"/>
          <w:bCs w:val="0"/>
          <w:color w:val="auto"/>
          <w:sz w:val="32"/>
          <w:szCs w:val="32"/>
          <w:lang w:eastAsia="zh-CN"/>
        </w:rPr>
        <w:t>各部门、二级学院：</w:t>
      </w:r>
    </w:p>
    <w:p>
      <w:pPr>
        <w:ind w:firstLine="560"/>
        <w:jc w:val="left"/>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为贯彻落实教育部《教育系统安全专项整治三年行动方案》、省安委会《江西省安全生产专项整治三年行动实施方案》和江西省教育厅关于印发《全省教育系统安全专项整治三年行动实施方案》，扎实推进教育系统安全管理工作，切实加强学校安全风险防控和隐患整治。现结合学校实际情况，为确保校园和谐，保障师生安全，制定《共青科技职业学院安全专项整治三年行动方案》如下：</w:t>
      </w:r>
    </w:p>
    <w:p>
      <w:pPr>
        <w:numPr>
          <w:ilvl w:val="0"/>
          <w:numId w:val="1"/>
        </w:numPr>
        <w:ind w:firstLine="560"/>
        <w:jc w:val="left"/>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整治目标：</w:t>
      </w:r>
    </w:p>
    <w:p>
      <w:pPr>
        <w:numPr>
          <w:ilvl w:val="0"/>
          <w:numId w:val="0"/>
        </w:numPr>
        <w:jc w:val="left"/>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 xml:space="preserve">    在2020年8月至2022年12月三年整治行动时间段，扎实推进学校安全治理体系和治理能力现代化，完善和落实从根本上消除事故隐患的责任链条、制度成果、管理办法、重点工程、工作机制和预防控制体系，切实增强学校安全风险防控和隐患治理能力，坚决遏制重特大事故发生，实行校园和谐稳定。</w:t>
      </w:r>
    </w:p>
    <w:p>
      <w:pPr>
        <w:numPr>
          <w:ilvl w:val="0"/>
          <w:numId w:val="1"/>
        </w:numPr>
        <w:ind w:left="0" w:leftChars="0" w:firstLine="560" w:firstLineChars="0"/>
        <w:jc w:val="left"/>
        <w:rPr>
          <w:rFonts w:hint="eastAsia" w:ascii="宋体" w:hAnsi="宋体" w:eastAsia="宋体" w:cs="宋体"/>
          <w:b w:val="0"/>
          <w:bCs w:val="0"/>
          <w:color w:val="auto"/>
          <w:sz w:val="32"/>
          <w:szCs w:val="32"/>
          <w:lang w:val="en-US" w:eastAsia="zh-CN"/>
        </w:rPr>
      </w:pPr>
      <w:r>
        <w:rPr>
          <w:rFonts w:hint="eastAsia" w:ascii="宋体" w:hAnsi="宋体" w:eastAsia="宋体" w:cs="宋体"/>
          <w:b/>
          <w:bCs/>
          <w:color w:val="auto"/>
          <w:sz w:val="32"/>
          <w:szCs w:val="32"/>
          <w:lang w:val="en-US" w:eastAsia="zh-CN"/>
        </w:rPr>
        <w:t>主要任务：</w:t>
      </w:r>
    </w:p>
    <w:p>
      <w:pPr>
        <w:numPr>
          <w:ilvl w:val="0"/>
          <w:numId w:val="0"/>
        </w:numPr>
        <w:ind w:firstLine="640" w:firstLineChars="20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坚持以习近平总书记关于安全生产重要论述武装头脑、指导实践，完善安全生产责任及管理制度，落实党政同责、一岗双责的安全生产责任制，强化学校安全领导干部领导责任、部门监管责任和学校主题责任，切实解决思想认知不足、安全发展理念不牢和工作落实不到位等突出问题。建立公共安全隐患排查和安全预防控制体系，推动学校安全工作由学校被动接受监管到主动加强管理转变、推动校园安全风险管控由学校督促向部门（二级学院）自主开展转变、推动学校安全隐患排查治理由部门行政执法向学校日常自查自纠转变。</w:t>
      </w:r>
    </w:p>
    <w:p>
      <w:pPr>
        <w:numPr>
          <w:ilvl w:val="0"/>
          <w:numId w:val="2"/>
        </w:numPr>
        <w:ind w:left="0" w:leftChars="0" w:firstLine="420" w:firstLineChars="0"/>
        <w:jc w:val="both"/>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学习宣传贯彻习近平书记关于安全生产重要论述。</w:t>
      </w:r>
    </w:p>
    <w:p>
      <w:pPr>
        <w:numPr>
          <w:ilvl w:val="0"/>
          <w:numId w:val="0"/>
        </w:numPr>
        <w:ind w:firstLine="560"/>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以各级党政领导干部为重点，带动全省教育系统干部职工、学校负责人和广大师生学深学透习近平总书记关于安全生产重要论述。坚持解决思想问题与解决实际问题相结合，广泛开展宣传学校活动，各级教育部门和学校网、端、微等平台开设专题撞烂，推迟重点报道、学习文字、访谈评论等，开展习近平总书记重要论述宣讲跟这个贯穿学校安全工作全过程。组织观看地方电视台和有关媒体播放的“生命重于泰山—学习习近平总书记观音湖安全生产重要论述”电视专题片，营造学习宣传贯彻的浓厚氛围，增强从根本上消除事故隐患的思想自觉和行动自觉，以实际行动和实际效果牢牢守住安全底线红线。（学校各相关处室、二级学院按职责分工负责）</w:t>
      </w:r>
    </w:p>
    <w:p>
      <w:pPr>
        <w:numPr>
          <w:ilvl w:val="0"/>
          <w:numId w:val="0"/>
        </w:numPr>
        <w:ind w:firstLine="643" w:firstLineChars="200"/>
        <w:jc w:val="both"/>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（二）建立健全学校安全风险防控体系。</w:t>
      </w:r>
    </w:p>
    <w:p>
      <w:pPr>
        <w:spacing w:line="580" w:lineRule="exact"/>
        <w:ind w:firstLine="640" w:firstLineChars="200"/>
        <w:rPr>
          <w:rFonts w:hint="eastAsia" w:ascii="宋体" w:hAnsi="宋体" w:eastAsia="宋体" w:cs="宋体"/>
          <w:b/>
          <w:snapToGrid/>
          <w:color w:val="151515"/>
          <w:sz w:val="32"/>
          <w:szCs w:val="32"/>
        </w:rPr>
      </w:pPr>
      <w:r>
        <w:rPr>
          <w:rFonts w:hint="eastAsia" w:ascii="宋体" w:hAnsi="宋体" w:eastAsia="宋体" w:cs="宋体"/>
          <w:color w:val="auto"/>
          <w:sz w:val="32"/>
          <w:szCs w:val="32"/>
        </w:rPr>
        <w:t>贯彻落实《江西省人民政府办公厅关于加强中小学幼儿园安全风险防控体系建设的实施意见》，紧盯学校安全工作短板弱项，坚持</w:t>
      </w:r>
      <w:r>
        <w:rPr>
          <w:rFonts w:hint="eastAsia" w:ascii="宋体" w:hAnsi="宋体" w:eastAsia="宋体" w:cs="宋体"/>
          <w:snapToGrid/>
          <w:color w:val="151515"/>
          <w:sz w:val="32"/>
          <w:szCs w:val="32"/>
        </w:rPr>
        <w:t>问题导向、效果导向，强措施、堵漏洞，织密扎牢学生安全保护网，</w:t>
      </w:r>
      <w:r>
        <w:rPr>
          <w:rFonts w:hint="eastAsia" w:ascii="宋体" w:hAnsi="宋体" w:eastAsia="宋体" w:cs="宋体"/>
          <w:color w:val="auto"/>
          <w:sz w:val="32"/>
          <w:szCs w:val="32"/>
        </w:rPr>
        <w:t>积极构建系统、高效的校园安全防范体系，全力防止学校安全事故的发生。</w:t>
      </w:r>
      <w:r>
        <w:rPr>
          <w:rFonts w:hint="eastAsia" w:ascii="宋体" w:hAnsi="宋体" w:eastAsia="宋体" w:cs="宋体"/>
          <w:b w:val="0"/>
          <w:bCs w:val="0"/>
          <w:color w:val="auto"/>
          <w:sz w:val="32"/>
          <w:szCs w:val="32"/>
        </w:rPr>
        <w:t>（</w:t>
      </w:r>
      <w:r>
        <w:rPr>
          <w:rFonts w:hint="eastAsia" w:ascii="宋体" w:hAnsi="宋体" w:eastAsia="宋体" w:cs="宋体"/>
          <w:b w:val="0"/>
          <w:bCs w:val="0"/>
          <w:color w:val="auto"/>
          <w:sz w:val="30"/>
          <w:szCs w:val="30"/>
          <w:lang w:eastAsia="zh-CN"/>
        </w:rPr>
        <w:t>学校</w:t>
      </w:r>
      <w:r>
        <w:rPr>
          <w:rFonts w:hint="eastAsia" w:ascii="宋体" w:hAnsi="宋体" w:eastAsia="宋体" w:cs="宋体"/>
          <w:b w:val="0"/>
          <w:bCs w:val="0"/>
          <w:color w:val="auto"/>
          <w:sz w:val="30"/>
          <w:szCs w:val="30"/>
        </w:rPr>
        <w:t>安全稳定综合治理工</w:t>
      </w:r>
      <w:r>
        <w:rPr>
          <w:rFonts w:hint="eastAsia" w:ascii="宋体" w:hAnsi="宋体" w:eastAsia="宋体" w:cs="宋体"/>
          <w:b w:val="0"/>
          <w:bCs w:val="0"/>
          <w:color w:val="auto"/>
          <w:sz w:val="30"/>
          <w:szCs w:val="30"/>
          <w:lang w:eastAsia="zh-CN"/>
        </w:rPr>
        <w:t>作</w:t>
      </w:r>
      <w:r>
        <w:rPr>
          <w:rFonts w:hint="eastAsia" w:ascii="宋体" w:hAnsi="宋体" w:eastAsia="宋体" w:cs="宋体"/>
          <w:b w:val="0"/>
          <w:bCs w:val="0"/>
          <w:color w:val="auto"/>
          <w:sz w:val="30"/>
          <w:szCs w:val="30"/>
        </w:rPr>
        <w:t>领导小组</w:t>
      </w:r>
      <w:r>
        <w:rPr>
          <w:rFonts w:hint="eastAsia" w:ascii="宋体" w:hAnsi="宋体" w:eastAsia="宋体" w:cs="宋体"/>
          <w:color w:val="auto"/>
          <w:sz w:val="30"/>
          <w:szCs w:val="30"/>
        </w:rPr>
        <w:t>牵头，</w:t>
      </w:r>
      <w:r>
        <w:rPr>
          <w:rFonts w:hint="eastAsia" w:ascii="宋体" w:hAnsi="宋体" w:eastAsia="宋体" w:cs="宋体"/>
          <w:color w:val="auto"/>
          <w:sz w:val="32"/>
          <w:szCs w:val="32"/>
        </w:rPr>
        <w:t>各相关处室</w:t>
      </w:r>
      <w:r>
        <w:rPr>
          <w:rFonts w:hint="eastAsia" w:ascii="宋体" w:hAnsi="宋体" w:eastAsia="宋体" w:cs="宋体"/>
          <w:color w:val="auto"/>
          <w:sz w:val="32"/>
          <w:szCs w:val="32"/>
          <w:lang w:eastAsia="zh-CN"/>
        </w:rPr>
        <w:t>和二级学院</w:t>
      </w:r>
      <w:r>
        <w:rPr>
          <w:rFonts w:hint="eastAsia" w:ascii="宋体" w:hAnsi="宋体" w:eastAsia="宋体" w:cs="宋体"/>
          <w:color w:val="auto"/>
          <w:sz w:val="32"/>
          <w:szCs w:val="32"/>
        </w:rPr>
        <w:t>按职责分工负责）</w:t>
      </w:r>
    </w:p>
    <w:p>
      <w:pPr>
        <w:spacing w:line="580" w:lineRule="exact"/>
        <w:ind w:firstLine="643" w:firstLineChars="200"/>
        <w:rPr>
          <w:rFonts w:hint="eastAsia" w:ascii="宋体" w:hAnsi="宋体" w:eastAsia="宋体" w:cs="宋体"/>
          <w:b/>
          <w:snapToGrid/>
          <w:color w:val="151515"/>
          <w:sz w:val="32"/>
          <w:szCs w:val="32"/>
        </w:rPr>
      </w:pPr>
      <w:r>
        <w:rPr>
          <w:rFonts w:hint="eastAsia" w:ascii="宋体" w:hAnsi="宋体" w:eastAsia="宋体" w:cs="宋体"/>
          <w:b/>
          <w:snapToGrid/>
          <w:color w:val="151515"/>
          <w:sz w:val="32"/>
          <w:szCs w:val="32"/>
        </w:rPr>
        <w:t>1.严格落实安全责任</w:t>
      </w:r>
      <w:r>
        <w:rPr>
          <w:rFonts w:hint="eastAsia" w:ascii="宋体" w:hAnsi="宋体" w:eastAsia="宋体" w:cs="宋体"/>
          <w:snapToGrid/>
          <w:color w:val="151515"/>
          <w:sz w:val="32"/>
          <w:szCs w:val="32"/>
        </w:rPr>
        <w:t>。</w:t>
      </w:r>
      <w:r>
        <w:rPr>
          <w:rFonts w:hint="eastAsia" w:ascii="宋体" w:hAnsi="宋体" w:eastAsia="宋体" w:cs="宋体"/>
          <w:color w:val="auto"/>
          <w:sz w:val="32"/>
          <w:szCs w:val="32"/>
        </w:rPr>
        <w:t>贯彻《中共江西省委教育工委、江西省教育厅贯彻落实〈江西省党政领导干部安全生产责任制实施细则〉的办法》和《全省教育系统贯彻落实〈江西省党政领导干部安全生产责任制实施细则〉的办法》，落实教育系统领导干部领导责任，坚持党政同责、一岗双责、齐抓共管、失职追责，坚决扛起防范化解重大安全风险的政治责任；落实教育行政部门监管责任，指导和督促学校安全加强安全管理，建立规范化标准化监管机制；落实学校安全主体责任，健全“明责、知责、履责、问责”的安全责任运行机制，着力消除学校安全盲区漏洞。</w:t>
      </w:r>
    </w:p>
    <w:p>
      <w:pPr>
        <w:spacing w:line="580" w:lineRule="exact"/>
        <w:ind w:firstLine="643" w:firstLineChars="200"/>
        <w:rPr>
          <w:rFonts w:hint="eastAsia" w:ascii="宋体" w:hAnsi="宋体" w:eastAsia="宋体" w:cs="宋体"/>
          <w:snapToGrid/>
          <w:color w:val="151515"/>
          <w:sz w:val="32"/>
          <w:szCs w:val="32"/>
        </w:rPr>
      </w:pPr>
      <w:r>
        <w:rPr>
          <w:rFonts w:hint="eastAsia" w:ascii="宋体" w:hAnsi="宋体" w:eastAsia="宋体" w:cs="宋体"/>
          <w:b/>
          <w:snapToGrid/>
          <w:color w:val="151515"/>
          <w:sz w:val="32"/>
          <w:szCs w:val="32"/>
        </w:rPr>
        <w:t>2.</w:t>
      </w:r>
      <w:r>
        <w:rPr>
          <w:rFonts w:hint="eastAsia" w:ascii="宋体" w:hAnsi="宋体" w:eastAsia="宋体" w:cs="宋体"/>
          <w:b/>
          <w:color w:val="auto"/>
          <w:sz w:val="32"/>
          <w:szCs w:val="32"/>
        </w:rPr>
        <w:t>健全各项安全管理制度</w:t>
      </w:r>
      <w:r>
        <w:rPr>
          <w:rFonts w:hint="eastAsia" w:ascii="宋体" w:hAnsi="宋体" w:eastAsia="宋体" w:cs="宋体"/>
          <w:color w:val="auto"/>
          <w:sz w:val="32"/>
          <w:szCs w:val="32"/>
        </w:rPr>
        <w:t>。按照相关法律法规，结合学校安全工作实际和特点，建立健全各项安全管理制度和工作标准，规范安全管理和安全监管行为，把安全工作要求贯彻学校发展全过程和各领域。落实教育系统安全管理统计分析制度，依法参与、配合学校安全事故的调查处理，监督检查事故单位落实安全防范和整改措施情况</w:t>
      </w:r>
    </w:p>
    <w:p>
      <w:pPr>
        <w:spacing w:line="58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3.</w:t>
      </w:r>
      <w:r>
        <w:rPr>
          <w:rFonts w:hint="eastAsia" w:ascii="宋体" w:hAnsi="宋体" w:eastAsia="宋体" w:cs="宋体"/>
          <w:b/>
          <w:snapToGrid/>
          <w:color w:val="151515"/>
          <w:sz w:val="32"/>
          <w:szCs w:val="32"/>
        </w:rPr>
        <w:t>加强学生安全素质教育</w:t>
      </w:r>
      <w:r>
        <w:rPr>
          <w:rFonts w:hint="eastAsia" w:ascii="宋体" w:hAnsi="宋体" w:eastAsia="宋体" w:cs="宋体"/>
          <w:snapToGrid/>
          <w:color w:val="151515"/>
          <w:sz w:val="32"/>
          <w:szCs w:val="32"/>
        </w:rPr>
        <w:t>。把安全教育纳入学校教育内容和校园文化活动，广泛开展主题教育、科普讲座、专题授课等多形式的安全宣教活动；建设安全管理相关在线开放课程，运用虚拟仿真技术加强溺水、火灾、食物中毒、交通事故和自然灾害等方面安全教育的针对性和实效性，通过以案例警示教育和沉浸式互动体验，让学生在切身感受安全的重要性，培养学生的安全意识和自救能力。加强实训实习期间和校外社会实践活动的安全管理</w:t>
      </w:r>
      <w:r>
        <w:rPr>
          <w:rFonts w:hint="eastAsia" w:ascii="宋体" w:hAnsi="宋体" w:eastAsia="宋体" w:cs="宋体"/>
          <w:color w:val="auto"/>
          <w:sz w:val="32"/>
          <w:szCs w:val="32"/>
        </w:rPr>
        <w:t>。</w:t>
      </w:r>
    </w:p>
    <w:p>
      <w:pPr>
        <w:spacing w:line="580" w:lineRule="exact"/>
        <w:ind w:firstLine="643" w:firstLineChars="200"/>
        <w:rPr>
          <w:rFonts w:hint="eastAsia" w:ascii="宋体" w:hAnsi="宋体" w:eastAsia="宋体" w:cs="宋体"/>
          <w:color w:val="auto"/>
          <w:sz w:val="32"/>
          <w:szCs w:val="32"/>
        </w:rPr>
      </w:pPr>
      <w:r>
        <w:rPr>
          <w:rFonts w:hint="eastAsia" w:ascii="宋体" w:hAnsi="宋体" w:eastAsia="宋体" w:cs="宋体"/>
          <w:b/>
          <w:color w:val="auto"/>
          <w:sz w:val="32"/>
          <w:szCs w:val="32"/>
        </w:rPr>
        <w:t>4.加快学校安防基础建设</w:t>
      </w:r>
      <w:r>
        <w:rPr>
          <w:rFonts w:hint="eastAsia" w:ascii="宋体" w:hAnsi="宋体" w:eastAsia="宋体" w:cs="宋体"/>
          <w:color w:val="auto"/>
          <w:sz w:val="32"/>
          <w:szCs w:val="32"/>
        </w:rPr>
        <w:t>。按照省教育厅、省公安厅《关于进一步加强全省中小学幼儿园安全防范能力建设的工作意见》（赣教发〔2019〕12号）和《关于进一步加强校园安全防范建设工作的通知》要求，各级各类学校</w:t>
      </w:r>
      <w:r>
        <w:rPr>
          <w:rFonts w:hint="eastAsia" w:ascii="宋体" w:hAnsi="宋体" w:eastAsia="宋体" w:cs="宋体"/>
          <w:color w:val="000000"/>
          <w:sz w:val="32"/>
          <w:szCs w:val="32"/>
        </w:rPr>
        <w:t>在属地公安部门的指导下，进一步加强和改进校园安防建设，满足实际工作需求</w:t>
      </w:r>
      <w:r>
        <w:rPr>
          <w:rFonts w:hint="eastAsia" w:ascii="宋体" w:hAnsi="宋体" w:eastAsia="宋体" w:cs="宋体"/>
          <w:color w:val="auto"/>
          <w:sz w:val="32"/>
          <w:szCs w:val="32"/>
        </w:rPr>
        <w:t>，2020年底前，实现全省学校100%封闭化管理、100%配备专职保安、100%安装一键式保警装置和视频监控系统并与公安部门联网运用</w:t>
      </w:r>
      <w:r>
        <w:rPr>
          <w:rFonts w:hint="eastAsia" w:ascii="宋体" w:hAnsi="宋体" w:eastAsia="宋体" w:cs="宋体"/>
          <w:color w:val="000000"/>
          <w:sz w:val="32"/>
          <w:szCs w:val="32"/>
        </w:rPr>
        <w:t>。2022年前，</w:t>
      </w:r>
      <w:r>
        <w:rPr>
          <w:rFonts w:hint="eastAsia" w:ascii="宋体" w:hAnsi="宋体" w:eastAsia="宋体" w:cs="宋体"/>
          <w:color w:val="auto"/>
          <w:sz w:val="32"/>
          <w:szCs w:val="32"/>
        </w:rPr>
        <w:t>如期完成公安部、教育部学校安全防范建设三年行动计划各项工作任务。</w:t>
      </w:r>
    </w:p>
    <w:p>
      <w:pPr>
        <w:spacing w:line="580" w:lineRule="exact"/>
        <w:ind w:firstLine="643" w:firstLineChars="200"/>
        <w:rPr>
          <w:rFonts w:hint="eastAsia" w:ascii="宋体" w:hAnsi="宋体" w:eastAsia="宋体" w:cs="宋体"/>
          <w:color w:val="auto"/>
          <w:sz w:val="32"/>
          <w:szCs w:val="32"/>
        </w:rPr>
      </w:pPr>
      <w:r>
        <w:rPr>
          <w:rFonts w:hint="eastAsia" w:ascii="宋体" w:hAnsi="宋体" w:eastAsia="宋体" w:cs="宋体"/>
          <w:b/>
          <w:color w:val="auto"/>
          <w:sz w:val="32"/>
          <w:szCs w:val="32"/>
        </w:rPr>
        <w:t>5.加强安全管理干部队伍建设</w:t>
      </w:r>
      <w:r>
        <w:rPr>
          <w:rFonts w:hint="eastAsia" w:ascii="宋体" w:hAnsi="宋体" w:eastAsia="宋体" w:cs="宋体"/>
          <w:color w:val="auto"/>
          <w:sz w:val="32"/>
          <w:szCs w:val="32"/>
        </w:rPr>
        <w:t>。统筹加强安全队伍建设，加大相关保障力度，充实一线安全监管人员。加强安全工作人才培养，全省平安校园建设工作培训、学生心理危机干预培训等安全培训，提高学校安全管理干部队伍整体素质和专业水平。</w:t>
      </w:r>
    </w:p>
    <w:p>
      <w:pPr>
        <w:spacing w:line="580" w:lineRule="exact"/>
        <w:ind w:firstLine="643" w:firstLineChars="200"/>
        <w:rPr>
          <w:rFonts w:hint="eastAsia" w:ascii="宋体" w:hAnsi="宋体" w:eastAsia="宋体" w:cs="宋体"/>
          <w:b/>
          <w:snapToGrid/>
          <w:color w:val="151515"/>
          <w:sz w:val="32"/>
          <w:szCs w:val="32"/>
        </w:rPr>
      </w:pPr>
      <w:r>
        <w:rPr>
          <w:rFonts w:hint="eastAsia" w:ascii="宋体" w:hAnsi="宋体" w:eastAsia="宋体" w:cs="宋体"/>
          <w:b/>
          <w:color w:val="auto"/>
          <w:sz w:val="32"/>
          <w:szCs w:val="32"/>
        </w:rPr>
        <w:t>6.推进“互联网+安全”工程</w:t>
      </w:r>
      <w:r>
        <w:rPr>
          <w:rFonts w:hint="eastAsia" w:ascii="宋体" w:hAnsi="宋体" w:eastAsia="宋体" w:cs="宋体"/>
          <w:color w:val="auto"/>
          <w:sz w:val="32"/>
          <w:szCs w:val="32"/>
        </w:rPr>
        <w:t>。依托教育城域网络，加快学校安全防控信息化建设。推动“全省学校安全监控平台”建设，构建学校到各级教育部门的视频监控链路，形成网络监管、地理信息定位、即时调度管理模式，实现教育部门对辖区学校监测点视频信息随查随用，即调即用。推动“全省学校智慧消防（用电）平台”建设，完成重点场所消防设施物联网改造升级，普及应用智能独立火灾（可燃气体）探测报警器和智慧安全用电装置，实现对火灾监测预警预报和用电设备动态监测。推动“全省学生心理危机干预平台”建设，高效准确地掌握全省学生心理健康的整体状况，及时掌握特殊个案，层层预警，及时跟进、开展线下干预，努力避免极端事件的发生。</w:t>
      </w:r>
    </w:p>
    <w:p>
      <w:pPr>
        <w:spacing w:line="580" w:lineRule="exact"/>
        <w:ind w:firstLine="643" w:firstLineChars="200"/>
        <w:rPr>
          <w:rFonts w:hint="eastAsia" w:ascii="宋体" w:hAnsi="宋体" w:eastAsia="宋体" w:cs="宋体"/>
          <w:snapToGrid/>
          <w:color w:val="151515"/>
          <w:sz w:val="32"/>
          <w:szCs w:val="32"/>
        </w:rPr>
      </w:pPr>
      <w:r>
        <w:rPr>
          <w:rFonts w:hint="eastAsia" w:ascii="宋体" w:hAnsi="宋体" w:eastAsia="宋体" w:cs="宋体"/>
          <w:b/>
          <w:snapToGrid/>
          <w:color w:val="151515"/>
          <w:sz w:val="32"/>
          <w:szCs w:val="32"/>
        </w:rPr>
        <w:t>7.强化学校应急处置能力建设</w:t>
      </w:r>
      <w:r>
        <w:rPr>
          <w:rFonts w:hint="eastAsia" w:ascii="宋体" w:hAnsi="宋体" w:eastAsia="宋体" w:cs="宋体"/>
          <w:snapToGrid/>
          <w:color w:val="151515"/>
          <w:sz w:val="32"/>
          <w:szCs w:val="32"/>
        </w:rPr>
        <w:t>。制定完善突发事件应急预案，严格值班和信息报告制度，推动与学校周边重点救援力量建立应急联动机制，加强学校应急保障队伍及应急物资储备，完善应急管理分级响应制度和程序，定期开展应急演练，根据演练效果和情势变化适时修订应急预案，提升风险防范能力。</w:t>
      </w:r>
    </w:p>
    <w:p>
      <w:pPr>
        <w:spacing w:line="580" w:lineRule="exact"/>
        <w:ind w:firstLine="643" w:firstLineChars="200"/>
        <w:rPr>
          <w:rStyle w:val="6"/>
          <w:rFonts w:hint="eastAsia" w:ascii="宋体" w:hAnsi="宋体" w:eastAsia="宋体" w:cs="宋体"/>
        </w:rPr>
      </w:pPr>
      <w:r>
        <w:rPr>
          <w:rFonts w:hint="eastAsia" w:ascii="宋体" w:hAnsi="宋体" w:eastAsia="宋体" w:cs="宋体"/>
          <w:b/>
          <w:color w:val="auto"/>
          <w:sz w:val="32"/>
          <w:szCs w:val="32"/>
        </w:rPr>
        <w:t>（三）</w:t>
      </w:r>
      <w:r>
        <w:rPr>
          <w:rFonts w:hint="eastAsia" w:ascii="宋体" w:hAnsi="宋体" w:eastAsia="宋体" w:cs="宋体"/>
          <w:b/>
          <w:snapToGrid/>
          <w:color w:val="151515"/>
          <w:sz w:val="32"/>
          <w:szCs w:val="32"/>
        </w:rPr>
        <w:t>开展重点领域专项治理</w:t>
      </w:r>
      <w:r>
        <w:rPr>
          <w:rFonts w:hint="eastAsia" w:ascii="宋体" w:hAnsi="宋体" w:eastAsia="宋体" w:cs="宋体"/>
          <w:snapToGrid/>
          <w:color w:val="151515"/>
          <w:sz w:val="32"/>
          <w:szCs w:val="32"/>
        </w:rPr>
        <w:t>。</w:t>
      </w:r>
      <w:r>
        <w:rPr>
          <w:rFonts w:hint="eastAsia" w:ascii="宋体" w:hAnsi="宋体" w:eastAsia="宋体" w:cs="宋体"/>
          <w:color w:val="auto"/>
          <w:sz w:val="32"/>
          <w:szCs w:val="32"/>
        </w:rPr>
        <w:t>发挥各级防范遏制学生人身安全事故联席会议和校园及周边治安综合治理专项组工作职能，构建学校安全工作联动机制，加强与公安、应急管理、市场监管、文旅、卫生、住建等部门协调配合，</w:t>
      </w:r>
      <w:r>
        <w:rPr>
          <w:rFonts w:hint="eastAsia" w:ascii="宋体" w:hAnsi="宋体" w:eastAsia="宋体" w:cs="宋体"/>
          <w:snapToGrid/>
          <w:color w:val="151515"/>
          <w:sz w:val="32"/>
          <w:szCs w:val="32"/>
        </w:rPr>
        <w:t>落实安全管理措施</w:t>
      </w:r>
      <w:r>
        <w:rPr>
          <w:rFonts w:hint="eastAsia" w:ascii="宋体" w:hAnsi="宋体" w:eastAsia="宋体" w:cs="宋体"/>
          <w:color w:val="auto"/>
          <w:sz w:val="32"/>
          <w:szCs w:val="32"/>
        </w:rPr>
        <w:t>，着力解决影响学校安全的突出问题</w:t>
      </w:r>
      <w:r>
        <w:rPr>
          <w:rFonts w:hint="eastAsia" w:ascii="宋体" w:hAnsi="宋体" w:eastAsia="宋体" w:cs="宋体"/>
          <w:snapToGrid/>
          <w:color w:val="151515"/>
          <w:sz w:val="32"/>
          <w:szCs w:val="32"/>
        </w:rPr>
        <w:t>。</w:t>
      </w:r>
    </w:p>
    <w:p>
      <w:pPr>
        <w:spacing w:line="580" w:lineRule="exact"/>
        <w:ind w:firstLine="643" w:firstLineChars="200"/>
        <w:rPr>
          <w:rFonts w:hint="eastAsia" w:ascii="宋体" w:hAnsi="宋体" w:eastAsia="宋体" w:cs="宋体"/>
          <w:snapToGrid/>
          <w:color w:val="151515"/>
          <w:sz w:val="32"/>
          <w:szCs w:val="32"/>
        </w:rPr>
      </w:pPr>
      <w:r>
        <w:rPr>
          <w:rFonts w:hint="eastAsia" w:ascii="宋体" w:hAnsi="宋体" w:eastAsia="宋体" w:cs="宋体"/>
          <w:b/>
          <w:snapToGrid/>
          <w:color w:val="151515"/>
          <w:sz w:val="32"/>
          <w:szCs w:val="32"/>
        </w:rPr>
        <w:t>1.开展学校消防安全治理</w:t>
      </w:r>
      <w:r>
        <w:rPr>
          <w:rFonts w:hint="eastAsia" w:ascii="宋体" w:hAnsi="宋体" w:eastAsia="宋体" w:cs="宋体"/>
          <w:snapToGrid/>
          <w:color w:val="151515"/>
          <w:sz w:val="32"/>
          <w:szCs w:val="32"/>
        </w:rPr>
        <w:t>。学校定期开展消防安全隐患排查，开展对老旧建筑消防改造升级，对校内高层建筑、电气设备开展消防安全综合治理，及时消除隐患。对一时难以整改的隐患，列出整改计划，明确整改时限，力争在2022年前基本整改完毕。推动物联网监控系统和校园智慧消防（用电）平台建设，积极推广应用温度传感、烟雾报警、视频监控等技术，实现火灾动态、精准防控。健全与消防救援机构协调联动工作机制，加强师生消防安全教育，定期开展消防疏散演练，不断提升师生消防安全意识和自救能力。（</w:t>
      </w:r>
      <w:r>
        <w:rPr>
          <w:rFonts w:hint="eastAsia" w:ascii="宋体" w:hAnsi="宋体" w:eastAsia="宋体" w:cs="宋体"/>
          <w:snapToGrid/>
          <w:color w:val="151515"/>
          <w:sz w:val="32"/>
          <w:szCs w:val="32"/>
          <w:lang w:eastAsia="zh-CN"/>
        </w:rPr>
        <w:t>学校综治办</w:t>
      </w:r>
      <w:r>
        <w:rPr>
          <w:rFonts w:hint="eastAsia" w:ascii="宋体" w:hAnsi="宋体" w:eastAsia="宋体" w:cs="宋体"/>
          <w:snapToGrid/>
          <w:color w:val="151515"/>
          <w:sz w:val="32"/>
          <w:szCs w:val="32"/>
        </w:rPr>
        <w:t>牵头，</w:t>
      </w:r>
      <w:r>
        <w:rPr>
          <w:rFonts w:hint="eastAsia" w:ascii="宋体" w:hAnsi="宋体" w:eastAsia="宋体" w:cs="宋体"/>
          <w:color w:val="auto"/>
          <w:sz w:val="32"/>
          <w:szCs w:val="32"/>
        </w:rPr>
        <w:t>各相关处室</w:t>
      </w:r>
      <w:r>
        <w:rPr>
          <w:rFonts w:hint="eastAsia" w:ascii="宋体" w:hAnsi="宋体" w:eastAsia="宋体" w:cs="宋体"/>
          <w:color w:val="auto"/>
          <w:sz w:val="32"/>
          <w:szCs w:val="32"/>
          <w:lang w:eastAsia="zh-CN"/>
        </w:rPr>
        <w:t>和二级学院</w:t>
      </w:r>
      <w:r>
        <w:rPr>
          <w:rFonts w:hint="eastAsia" w:ascii="宋体" w:hAnsi="宋体" w:eastAsia="宋体" w:cs="宋体"/>
          <w:color w:val="auto"/>
          <w:sz w:val="32"/>
          <w:szCs w:val="32"/>
        </w:rPr>
        <w:t>按职责分工负责</w:t>
      </w:r>
      <w:r>
        <w:rPr>
          <w:rFonts w:hint="eastAsia" w:ascii="宋体" w:hAnsi="宋体" w:eastAsia="宋体" w:cs="宋体"/>
          <w:snapToGrid/>
          <w:color w:val="151515"/>
          <w:sz w:val="32"/>
          <w:szCs w:val="32"/>
        </w:rPr>
        <w:t>）</w:t>
      </w:r>
    </w:p>
    <w:p>
      <w:pPr>
        <w:spacing w:line="580" w:lineRule="exact"/>
        <w:ind w:firstLine="643" w:firstLineChars="200"/>
        <w:rPr>
          <w:rFonts w:hint="eastAsia" w:ascii="宋体" w:hAnsi="宋体" w:eastAsia="宋体" w:cs="宋体"/>
          <w:color w:val="auto"/>
          <w:sz w:val="32"/>
          <w:szCs w:val="32"/>
        </w:rPr>
      </w:pPr>
      <w:r>
        <w:rPr>
          <w:rFonts w:hint="eastAsia" w:ascii="宋体" w:hAnsi="宋体" w:eastAsia="宋体" w:cs="宋体"/>
          <w:b/>
          <w:color w:val="auto"/>
          <w:sz w:val="32"/>
          <w:szCs w:val="32"/>
        </w:rPr>
        <w:t>2.开展学校食堂和食品安全治理</w:t>
      </w:r>
      <w:r>
        <w:rPr>
          <w:rFonts w:hint="eastAsia" w:ascii="宋体" w:hAnsi="宋体" w:eastAsia="宋体" w:cs="宋体"/>
          <w:color w:val="auto"/>
          <w:sz w:val="32"/>
          <w:szCs w:val="32"/>
        </w:rPr>
        <w:t>。建立健全食品安全相关管理制度，落实食品安全校长负责制，加强食品安全教育和日常管理。建立食品安全追溯体系，落实食品原料进货查验制度，提高校园食堂“互联网+明厨亮灶”覆盖率。定期开展食品安全自查自纠，降低食品安全风险，及时消除食品安全隐患，加强评价考核，推进健康教育。（</w:t>
      </w:r>
      <w:r>
        <w:rPr>
          <w:rFonts w:hint="eastAsia" w:ascii="宋体" w:hAnsi="宋体" w:eastAsia="宋体" w:cs="宋体"/>
          <w:color w:val="auto"/>
          <w:sz w:val="32"/>
          <w:szCs w:val="32"/>
          <w:lang w:eastAsia="zh-CN"/>
        </w:rPr>
        <w:t>总务处</w:t>
      </w:r>
      <w:r>
        <w:rPr>
          <w:rFonts w:hint="eastAsia" w:ascii="宋体" w:hAnsi="宋体" w:eastAsia="宋体" w:cs="宋体"/>
          <w:color w:val="auto"/>
          <w:sz w:val="32"/>
          <w:szCs w:val="32"/>
        </w:rPr>
        <w:t>牵头，各相关处室按职责分工负责）</w:t>
      </w:r>
    </w:p>
    <w:p>
      <w:pPr>
        <w:spacing w:line="580" w:lineRule="exact"/>
        <w:ind w:firstLine="643" w:firstLineChars="200"/>
        <w:rPr>
          <w:rFonts w:hint="eastAsia" w:ascii="宋体" w:hAnsi="宋体" w:eastAsia="宋体" w:cs="宋体"/>
          <w:color w:val="auto"/>
          <w:sz w:val="32"/>
          <w:szCs w:val="32"/>
        </w:rPr>
      </w:pPr>
      <w:r>
        <w:rPr>
          <w:rFonts w:hint="eastAsia" w:ascii="宋体" w:hAnsi="宋体" w:eastAsia="宋体" w:cs="宋体"/>
          <w:b/>
          <w:color w:val="auto"/>
          <w:sz w:val="32"/>
          <w:szCs w:val="32"/>
        </w:rPr>
        <w:t>3.开展实验室（危化品）安全治理</w:t>
      </w:r>
      <w:r>
        <w:rPr>
          <w:rFonts w:hint="eastAsia" w:ascii="宋体" w:hAnsi="宋体" w:eastAsia="宋体" w:cs="宋体"/>
          <w:color w:val="auto"/>
          <w:sz w:val="32"/>
          <w:szCs w:val="32"/>
        </w:rPr>
        <w:t>。健全实验室、危化品仓库安全分级管理责任体系，完善实验室安全检查信息系统。组织全面开展危险化学品等排查，建立危险源全周期管理制度，严格落实化学品存放、管理措施，规范化学品使用和废液处置程序。加强实验室安全教育，建立实验室人员安全培训机制，开设实验室相关专业及课程，把实验安全教育纳入相关人才培养方案。（</w:t>
      </w:r>
      <w:r>
        <w:rPr>
          <w:rFonts w:hint="eastAsia" w:ascii="宋体" w:hAnsi="宋体" w:eastAsia="宋体" w:cs="宋体"/>
          <w:color w:val="auto"/>
          <w:sz w:val="32"/>
          <w:szCs w:val="32"/>
          <w:lang w:eastAsia="zh-CN"/>
        </w:rPr>
        <w:t>教务处</w:t>
      </w:r>
      <w:r>
        <w:rPr>
          <w:rFonts w:hint="eastAsia" w:ascii="宋体" w:hAnsi="宋体" w:eastAsia="宋体" w:cs="宋体"/>
          <w:color w:val="auto"/>
          <w:sz w:val="32"/>
          <w:szCs w:val="32"/>
        </w:rPr>
        <w:t>牵头，各相关处室按职责分工负责）</w:t>
      </w:r>
    </w:p>
    <w:p>
      <w:pPr>
        <w:spacing w:line="580" w:lineRule="exact"/>
        <w:ind w:firstLine="643" w:firstLineChars="200"/>
        <w:rPr>
          <w:rFonts w:hint="eastAsia" w:ascii="宋体" w:hAnsi="宋体" w:eastAsia="宋体" w:cs="宋体"/>
          <w:color w:val="auto"/>
          <w:sz w:val="32"/>
          <w:szCs w:val="32"/>
        </w:rPr>
      </w:pPr>
      <w:r>
        <w:rPr>
          <w:rFonts w:hint="eastAsia" w:ascii="宋体" w:hAnsi="宋体" w:eastAsia="宋体" w:cs="宋体"/>
          <w:b/>
          <w:color w:val="auto"/>
          <w:sz w:val="32"/>
          <w:szCs w:val="32"/>
        </w:rPr>
        <w:t>4.开展校车交通安全治理</w:t>
      </w:r>
      <w:r>
        <w:rPr>
          <w:rFonts w:hint="eastAsia" w:ascii="宋体" w:hAnsi="宋体" w:eastAsia="宋体" w:cs="宋体"/>
          <w:color w:val="auto"/>
          <w:sz w:val="32"/>
          <w:szCs w:val="32"/>
        </w:rPr>
        <w:t>。按照《校车安全管理条例》，依法实施校车使用许可，规范发展专用校车，清理不达标载客汽车、非专用校车以及农用车、面包车等改装“黑校车”。健全和落实校车安全管理制度，加强校车服务提供者安全管理、动态监控，保障校车通行安全。加强与应急、公安、交通等相关部门的沟通，完善联动工作机制。加强交通安全教育。（</w:t>
      </w:r>
      <w:r>
        <w:rPr>
          <w:rFonts w:hint="eastAsia" w:ascii="宋体" w:hAnsi="宋体" w:eastAsia="宋体" w:cs="宋体"/>
          <w:color w:val="auto"/>
          <w:sz w:val="32"/>
          <w:szCs w:val="32"/>
          <w:lang w:eastAsia="zh-CN"/>
        </w:rPr>
        <w:t>党政办</w:t>
      </w:r>
      <w:r>
        <w:rPr>
          <w:rFonts w:hint="eastAsia" w:ascii="宋体" w:hAnsi="宋体" w:eastAsia="宋体" w:cs="宋体"/>
          <w:color w:val="auto"/>
          <w:sz w:val="32"/>
          <w:szCs w:val="32"/>
        </w:rPr>
        <w:t>牵头，各相关处室按职责分工负责）</w:t>
      </w:r>
    </w:p>
    <w:p>
      <w:pPr>
        <w:spacing w:line="580" w:lineRule="exact"/>
        <w:ind w:firstLine="643" w:firstLineChars="200"/>
        <w:rPr>
          <w:rFonts w:hint="eastAsia" w:ascii="宋体" w:hAnsi="宋体" w:eastAsia="宋体" w:cs="宋体"/>
          <w:color w:val="auto"/>
          <w:sz w:val="32"/>
          <w:szCs w:val="32"/>
        </w:rPr>
      </w:pPr>
      <w:r>
        <w:rPr>
          <w:rFonts w:hint="eastAsia" w:ascii="宋体" w:hAnsi="宋体" w:eastAsia="宋体" w:cs="宋体"/>
          <w:b/>
          <w:color w:val="auto"/>
          <w:sz w:val="32"/>
          <w:szCs w:val="32"/>
        </w:rPr>
        <w:t>5.开展预防学生溺水专项行动</w:t>
      </w:r>
      <w:r>
        <w:rPr>
          <w:rFonts w:hint="eastAsia" w:ascii="宋体" w:hAnsi="宋体" w:eastAsia="宋体" w:cs="宋体"/>
          <w:color w:val="auto"/>
          <w:sz w:val="32"/>
          <w:szCs w:val="32"/>
        </w:rPr>
        <w:t>。加强防溺水集中宣传教育，组织学生观看防溺水警示教育片、动漫片，组织防溺水“六不”安全知识默写和防溺水集体宣誓活动，传唱《安全你我他》歌曲，提高学校宣传教育的针对性、趣味性与有效性。推进家校合作，向家长推送防溺水安全提醒信息，强化学生监护人的安全意识和监管责任。协调推动公安、水利、国土等有关部门和街道、村委会按照职责分工，各尽其责，齐抓共管</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从源头加强防控。（</w:t>
      </w:r>
      <w:r>
        <w:rPr>
          <w:rFonts w:hint="eastAsia" w:ascii="宋体" w:hAnsi="宋体" w:eastAsia="宋体" w:cs="宋体"/>
          <w:color w:val="auto"/>
          <w:sz w:val="32"/>
          <w:szCs w:val="32"/>
          <w:lang w:eastAsia="zh-CN"/>
        </w:rPr>
        <w:t>学工处</w:t>
      </w:r>
      <w:r>
        <w:rPr>
          <w:rFonts w:hint="eastAsia" w:ascii="宋体" w:hAnsi="宋体" w:eastAsia="宋体" w:cs="宋体"/>
          <w:color w:val="auto"/>
          <w:sz w:val="32"/>
          <w:szCs w:val="32"/>
        </w:rPr>
        <w:t>牵头，各相关处室按职责分工负责）</w:t>
      </w:r>
    </w:p>
    <w:p>
      <w:pPr>
        <w:spacing w:line="58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三、时间安排</w:t>
      </w:r>
    </w:p>
    <w:p>
      <w:pPr>
        <w:spacing w:line="58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从2020年8月至2022年12月，分四个阶段进行。</w:t>
      </w:r>
    </w:p>
    <w:p>
      <w:pPr>
        <w:spacing w:line="580" w:lineRule="exact"/>
        <w:ind w:firstLine="643" w:firstLineChars="200"/>
        <w:rPr>
          <w:rFonts w:hint="eastAsia" w:ascii="宋体" w:hAnsi="宋体" w:eastAsia="宋体" w:cs="宋体"/>
          <w:color w:val="auto"/>
          <w:sz w:val="32"/>
          <w:szCs w:val="32"/>
        </w:rPr>
      </w:pPr>
      <w:r>
        <w:rPr>
          <w:rFonts w:hint="eastAsia" w:ascii="宋体" w:hAnsi="宋体" w:eastAsia="宋体" w:cs="宋体"/>
          <w:b/>
          <w:color w:val="auto"/>
          <w:sz w:val="32"/>
          <w:szCs w:val="32"/>
        </w:rPr>
        <w:t>（一）动员部署（2020年8月）</w:t>
      </w:r>
      <w:r>
        <w:rPr>
          <w:rFonts w:hint="eastAsia" w:ascii="宋体" w:hAnsi="宋体" w:eastAsia="宋体" w:cs="宋体"/>
          <w:color w:val="auto"/>
          <w:sz w:val="32"/>
          <w:szCs w:val="32"/>
        </w:rPr>
        <w:t>。结合前两年全省十大专项整治情况及学校安全工作实际，制定细化实施方案，明确具体目标任务、时间进度和责任措施，做好宣传发动和工作部署。整治方案请于8月</w:t>
      </w:r>
      <w:r>
        <w:rPr>
          <w:rFonts w:hint="eastAsia" w:ascii="宋体" w:hAnsi="宋体" w:eastAsia="宋体" w:cs="宋体"/>
          <w:color w:val="auto"/>
          <w:sz w:val="32"/>
          <w:szCs w:val="32"/>
          <w:lang w:val="en-US" w:eastAsia="zh-CN"/>
        </w:rPr>
        <w:t>25</w:t>
      </w:r>
      <w:r>
        <w:rPr>
          <w:rFonts w:hint="eastAsia" w:ascii="宋体" w:hAnsi="宋体" w:eastAsia="宋体" w:cs="宋体"/>
          <w:color w:val="auto"/>
          <w:sz w:val="32"/>
          <w:szCs w:val="32"/>
        </w:rPr>
        <w:t>日前报</w:t>
      </w:r>
      <w:r>
        <w:rPr>
          <w:rFonts w:hint="eastAsia" w:ascii="宋体" w:hAnsi="宋体" w:eastAsia="宋体" w:cs="宋体"/>
          <w:color w:val="auto"/>
          <w:sz w:val="32"/>
          <w:szCs w:val="32"/>
          <w:lang w:eastAsia="zh-CN"/>
        </w:rPr>
        <w:t>学校综治办汇总</w:t>
      </w:r>
      <w:r>
        <w:rPr>
          <w:rFonts w:hint="eastAsia" w:ascii="宋体" w:hAnsi="宋体" w:eastAsia="宋体" w:cs="宋体"/>
          <w:color w:val="auto"/>
          <w:sz w:val="32"/>
          <w:szCs w:val="32"/>
        </w:rPr>
        <w:t>至省教育厅学校安全稳定工作处。</w:t>
      </w:r>
    </w:p>
    <w:p>
      <w:pPr>
        <w:spacing w:line="580" w:lineRule="exact"/>
        <w:ind w:firstLine="643" w:firstLineChars="200"/>
        <w:rPr>
          <w:rFonts w:hint="eastAsia" w:ascii="宋体" w:hAnsi="宋体" w:eastAsia="宋体" w:cs="宋体"/>
          <w:color w:val="auto"/>
          <w:sz w:val="32"/>
          <w:szCs w:val="32"/>
        </w:rPr>
      </w:pPr>
      <w:r>
        <w:rPr>
          <w:rFonts w:hint="eastAsia" w:ascii="宋体" w:hAnsi="宋体" w:eastAsia="宋体" w:cs="宋体"/>
          <w:b/>
          <w:color w:val="auto"/>
          <w:sz w:val="32"/>
          <w:szCs w:val="32"/>
        </w:rPr>
        <w:t>（二）排查整治（2020年9月至2020年12月）</w:t>
      </w:r>
      <w:r>
        <w:rPr>
          <w:rFonts w:hint="eastAsia" w:ascii="宋体" w:hAnsi="宋体" w:eastAsia="宋体" w:cs="宋体"/>
          <w:color w:val="auto"/>
          <w:sz w:val="32"/>
          <w:szCs w:val="32"/>
        </w:rPr>
        <w:t>。深入分析</w:t>
      </w:r>
      <w:r>
        <w:rPr>
          <w:rFonts w:hint="eastAsia" w:ascii="宋体" w:hAnsi="宋体" w:eastAsia="宋体" w:cs="宋体"/>
          <w:color w:val="auto"/>
          <w:sz w:val="32"/>
          <w:szCs w:val="32"/>
          <w:lang w:eastAsia="zh-CN"/>
        </w:rPr>
        <w:t>学</w:t>
      </w:r>
      <w:r>
        <w:rPr>
          <w:rFonts w:hint="eastAsia" w:ascii="宋体" w:hAnsi="宋体" w:eastAsia="宋体" w:cs="宋体"/>
          <w:color w:val="auto"/>
          <w:sz w:val="32"/>
          <w:szCs w:val="32"/>
        </w:rPr>
        <w:t>校发生安全事故的主客观原因，</w:t>
      </w:r>
      <w:r>
        <w:rPr>
          <w:rFonts w:hint="eastAsia" w:ascii="宋体" w:hAnsi="宋体" w:eastAsia="宋体" w:cs="宋体"/>
          <w:color w:val="auto"/>
          <w:sz w:val="32"/>
          <w:szCs w:val="32"/>
          <w:lang w:eastAsia="zh-CN"/>
        </w:rPr>
        <w:t>对</w:t>
      </w:r>
      <w:r>
        <w:rPr>
          <w:rFonts w:hint="eastAsia" w:ascii="宋体" w:hAnsi="宋体" w:eastAsia="宋体" w:cs="宋体"/>
          <w:color w:val="auto"/>
          <w:sz w:val="32"/>
          <w:szCs w:val="32"/>
        </w:rPr>
        <w:t>学校安全风险隐患进行全面深入细致的排查治理，建立</w:t>
      </w:r>
      <w:r>
        <w:rPr>
          <w:rFonts w:hint="eastAsia" w:ascii="宋体" w:hAnsi="宋体" w:eastAsia="宋体" w:cs="宋体"/>
          <w:color w:val="auto"/>
          <w:sz w:val="32"/>
          <w:szCs w:val="32"/>
          <w:u w:val="single"/>
        </w:rPr>
        <w:t>问题隐患</w:t>
      </w:r>
      <w:r>
        <w:rPr>
          <w:rFonts w:hint="eastAsia" w:ascii="宋体" w:hAnsi="宋体" w:eastAsia="宋体" w:cs="宋体"/>
          <w:color w:val="auto"/>
          <w:sz w:val="32"/>
          <w:szCs w:val="32"/>
        </w:rPr>
        <w:t>和</w:t>
      </w:r>
      <w:r>
        <w:rPr>
          <w:rFonts w:hint="eastAsia" w:ascii="宋体" w:hAnsi="宋体" w:eastAsia="宋体" w:cs="宋体"/>
          <w:color w:val="auto"/>
          <w:sz w:val="32"/>
          <w:szCs w:val="32"/>
          <w:u w:val="single"/>
        </w:rPr>
        <w:t>整改措施</w:t>
      </w:r>
      <w:r>
        <w:rPr>
          <w:rFonts w:hint="eastAsia" w:ascii="宋体" w:hAnsi="宋体" w:eastAsia="宋体" w:cs="宋体"/>
          <w:b/>
          <w:color w:val="auto"/>
          <w:sz w:val="32"/>
          <w:szCs w:val="32"/>
        </w:rPr>
        <w:t>“两个清单”</w:t>
      </w:r>
      <w:r>
        <w:rPr>
          <w:rFonts w:hint="eastAsia" w:ascii="宋体" w:hAnsi="宋体" w:eastAsia="宋体" w:cs="宋体"/>
          <w:color w:val="auto"/>
          <w:sz w:val="32"/>
          <w:szCs w:val="32"/>
        </w:rPr>
        <w:t>，明确时间表路线图，明确整改责任单位和整改要求，坚持边查边改、立查立改，加快推进实施，推动整治工作取得初步实效。</w:t>
      </w:r>
      <w:r>
        <w:rPr>
          <w:rFonts w:hint="eastAsia" w:ascii="宋体" w:hAnsi="宋体" w:eastAsia="宋体" w:cs="宋体"/>
          <w:color w:val="auto"/>
          <w:sz w:val="32"/>
          <w:szCs w:val="32"/>
          <w:lang w:eastAsia="zh-CN"/>
        </w:rPr>
        <w:t>整治情况</w:t>
      </w:r>
      <w:r>
        <w:rPr>
          <w:rFonts w:hint="eastAsia" w:ascii="宋体" w:hAnsi="宋体" w:eastAsia="宋体" w:cs="宋体"/>
          <w:color w:val="auto"/>
          <w:sz w:val="32"/>
          <w:szCs w:val="32"/>
        </w:rPr>
        <w:t>于2020年9月底、12月底前将阶段整治情况报</w:t>
      </w:r>
      <w:r>
        <w:rPr>
          <w:rFonts w:hint="eastAsia" w:ascii="宋体" w:hAnsi="宋体" w:eastAsia="宋体" w:cs="宋体"/>
          <w:color w:val="auto"/>
          <w:sz w:val="32"/>
          <w:szCs w:val="32"/>
          <w:lang w:eastAsia="zh-CN"/>
        </w:rPr>
        <w:t>学校综治办汇总</w:t>
      </w:r>
      <w:r>
        <w:rPr>
          <w:rFonts w:hint="eastAsia" w:ascii="宋体" w:hAnsi="宋体" w:eastAsia="宋体" w:cs="宋体"/>
          <w:color w:val="auto"/>
          <w:sz w:val="32"/>
          <w:szCs w:val="32"/>
        </w:rPr>
        <w:t>至省教育厅学校安全稳定工作处。</w:t>
      </w:r>
    </w:p>
    <w:p>
      <w:pPr>
        <w:spacing w:line="580" w:lineRule="exact"/>
        <w:ind w:firstLine="643" w:firstLineChars="200"/>
        <w:rPr>
          <w:rFonts w:hint="eastAsia" w:ascii="宋体" w:hAnsi="宋体" w:eastAsia="宋体" w:cs="宋体"/>
          <w:color w:val="auto"/>
          <w:sz w:val="32"/>
          <w:szCs w:val="32"/>
        </w:rPr>
      </w:pPr>
      <w:r>
        <w:rPr>
          <w:rFonts w:hint="eastAsia" w:ascii="宋体" w:hAnsi="宋体" w:eastAsia="宋体" w:cs="宋体"/>
          <w:b/>
          <w:color w:val="auto"/>
          <w:sz w:val="32"/>
          <w:szCs w:val="32"/>
        </w:rPr>
        <w:t>（三）集中攻坚（2021年）</w:t>
      </w:r>
      <w:r>
        <w:rPr>
          <w:rFonts w:hint="eastAsia" w:ascii="宋体" w:hAnsi="宋体" w:eastAsia="宋体" w:cs="宋体"/>
          <w:color w:val="auto"/>
          <w:sz w:val="32"/>
          <w:szCs w:val="32"/>
        </w:rPr>
        <w:t>。</w:t>
      </w:r>
      <w:r>
        <w:rPr>
          <w:rFonts w:hint="eastAsia" w:ascii="宋体" w:hAnsi="宋体" w:eastAsia="宋体" w:cs="宋体"/>
          <w:color w:val="auto"/>
          <w:sz w:val="32"/>
          <w:szCs w:val="32"/>
          <w:lang w:eastAsia="zh-CN"/>
        </w:rPr>
        <w:t>学</w:t>
      </w:r>
      <w:r>
        <w:rPr>
          <w:rFonts w:hint="eastAsia" w:ascii="宋体" w:hAnsi="宋体" w:eastAsia="宋体" w:cs="宋体"/>
          <w:color w:val="auto"/>
          <w:sz w:val="32"/>
          <w:szCs w:val="32"/>
        </w:rPr>
        <w:t>校动态更新“两个清单”，集中力量、突出重点，着重完善安全生产责任制和管理制度，加大专项整治攻坚力度，着力解决一批重点难点问题，补足体制机制、标准规范等方面存在的安全短板，完善治理措施，推动建立健全安全隐患排查和安全预防控制体系，整治工作取得明显成效。</w:t>
      </w:r>
      <w:r>
        <w:rPr>
          <w:rFonts w:hint="eastAsia" w:ascii="宋体" w:hAnsi="宋体" w:eastAsia="宋体" w:cs="宋体"/>
          <w:color w:val="auto"/>
          <w:sz w:val="32"/>
          <w:szCs w:val="32"/>
          <w:lang w:eastAsia="zh-CN"/>
        </w:rPr>
        <w:t>各部门及二级学院，</w:t>
      </w:r>
      <w:r>
        <w:rPr>
          <w:rFonts w:hint="eastAsia" w:ascii="宋体" w:hAnsi="宋体" w:eastAsia="宋体" w:cs="宋体"/>
          <w:color w:val="auto"/>
          <w:sz w:val="32"/>
          <w:szCs w:val="32"/>
        </w:rPr>
        <w:t>每季度末将阶段整治情况报</w:t>
      </w:r>
      <w:r>
        <w:rPr>
          <w:rFonts w:hint="eastAsia" w:ascii="宋体" w:hAnsi="宋体" w:eastAsia="宋体" w:cs="宋体"/>
          <w:color w:val="auto"/>
          <w:sz w:val="32"/>
          <w:szCs w:val="32"/>
          <w:lang w:eastAsia="zh-CN"/>
        </w:rPr>
        <w:t>综治办汇总</w:t>
      </w:r>
      <w:r>
        <w:rPr>
          <w:rFonts w:hint="eastAsia" w:ascii="宋体" w:hAnsi="宋体" w:eastAsia="宋体" w:cs="宋体"/>
          <w:color w:val="auto"/>
          <w:sz w:val="32"/>
          <w:szCs w:val="32"/>
        </w:rPr>
        <w:t>至省教育厅学校安全稳定工作处。</w:t>
      </w:r>
    </w:p>
    <w:p>
      <w:pPr>
        <w:spacing w:line="580" w:lineRule="exact"/>
        <w:ind w:firstLine="643" w:firstLineChars="200"/>
        <w:rPr>
          <w:rFonts w:hint="eastAsia" w:ascii="宋体" w:hAnsi="宋体" w:eastAsia="宋体" w:cs="宋体"/>
          <w:color w:val="auto"/>
          <w:sz w:val="32"/>
          <w:szCs w:val="32"/>
        </w:rPr>
      </w:pPr>
      <w:r>
        <w:rPr>
          <w:rFonts w:hint="eastAsia" w:ascii="宋体" w:hAnsi="宋体" w:eastAsia="宋体" w:cs="宋体"/>
          <w:b/>
          <w:color w:val="auto"/>
          <w:sz w:val="32"/>
          <w:szCs w:val="32"/>
        </w:rPr>
        <w:t>（四）巩固提升（2022年）</w:t>
      </w:r>
      <w:r>
        <w:rPr>
          <w:rFonts w:hint="eastAsia" w:ascii="宋体" w:hAnsi="宋体" w:eastAsia="宋体" w:cs="宋体"/>
          <w:color w:val="auto"/>
          <w:sz w:val="32"/>
          <w:szCs w:val="32"/>
        </w:rPr>
        <w:t>。认真梳理前期整治工作中存在的问题，深入分析学校安全工作共性问题和突出隐患，深挖背后的深层次矛盾和原因，梳理在法规标准、政策措施层面需要健全完善、建立补充的具体制度，逐项推动落实。总结安全专项整治三年行动，健全长效机制，形成成熟定型的安全生产制度体系。</w:t>
      </w:r>
      <w:r>
        <w:rPr>
          <w:rFonts w:hint="eastAsia" w:ascii="宋体" w:hAnsi="宋体" w:eastAsia="宋体" w:cs="宋体"/>
          <w:color w:val="auto"/>
          <w:sz w:val="32"/>
          <w:szCs w:val="32"/>
          <w:lang w:eastAsia="zh-CN"/>
        </w:rPr>
        <w:t>各处室、二级学院</w:t>
      </w:r>
      <w:r>
        <w:rPr>
          <w:rFonts w:hint="eastAsia" w:ascii="宋体" w:hAnsi="宋体" w:eastAsia="宋体" w:cs="宋体"/>
          <w:color w:val="auto"/>
          <w:sz w:val="32"/>
          <w:szCs w:val="32"/>
        </w:rPr>
        <w:t>每季度末将阶段整治情况报</w:t>
      </w:r>
      <w:r>
        <w:rPr>
          <w:rFonts w:hint="eastAsia" w:ascii="宋体" w:hAnsi="宋体" w:eastAsia="宋体" w:cs="宋体"/>
          <w:color w:val="auto"/>
          <w:sz w:val="32"/>
          <w:szCs w:val="32"/>
          <w:lang w:eastAsia="zh-CN"/>
        </w:rPr>
        <w:t>综治办汇总</w:t>
      </w:r>
      <w:r>
        <w:rPr>
          <w:rFonts w:hint="eastAsia" w:ascii="宋体" w:hAnsi="宋体" w:eastAsia="宋体" w:cs="宋体"/>
          <w:color w:val="auto"/>
          <w:sz w:val="32"/>
          <w:szCs w:val="32"/>
        </w:rPr>
        <w:t>至省教育厅学校安全稳定工作处。</w:t>
      </w:r>
    </w:p>
    <w:p>
      <w:pPr>
        <w:spacing w:line="58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四、工作要求</w:t>
      </w:r>
    </w:p>
    <w:p>
      <w:pPr>
        <w:spacing w:line="580" w:lineRule="exact"/>
        <w:ind w:firstLine="643" w:firstLineChars="200"/>
        <w:rPr>
          <w:rFonts w:hint="eastAsia" w:ascii="宋体" w:hAnsi="宋体" w:eastAsia="宋体" w:cs="宋体"/>
          <w:color w:val="auto"/>
          <w:sz w:val="32"/>
          <w:szCs w:val="32"/>
        </w:rPr>
      </w:pPr>
      <w:r>
        <w:rPr>
          <w:rFonts w:hint="eastAsia" w:ascii="宋体" w:hAnsi="宋体" w:eastAsia="宋体" w:cs="宋体"/>
          <w:b/>
          <w:color w:val="auto"/>
          <w:sz w:val="32"/>
          <w:szCs w:val="32"/>
        </w:rPr>
        <w:t>（一）强化组织领导</w:t>
      </w:r>
      <w:r>
        <w:rPr>
          <w:rFonts w:hint="eastAsia" w:ascii="宋体" w:hAnsi="宋体" w:eastAsia="宋体" w:cs="宋体"/>
          <w:color w:val="auto"/>
          <w:sz w:val="32"/>
          <w:szCs w:val="32"/>
        </w:rPr>
        <w:t>。要深刻认识开展专项整治三年行动的重要性，强化领导责任，层层抓好组织实施，力戒形式主义、走过场。</w:t>
      </w:r>
      <w:r>
        <w:rPr>
          <w:rFonts w:hint="eastAsia" w:ascii="宋体" w:hAnsi="宋体" w:eastAsia="宋体" w:cs="宋体"/>
          <w:b w:val="0"/>
          <w:bCs w:val="0"/>
          <w:color w:val="auto"/>
          <w:sz w:val="30"/>
          <w:szCs w:val="30"/>
          <w:lang w:eastAsia="zh-CN"/>
        </w:rPr>
        <w:t>学校已成立</w:t>
      </w:r>
      <w:r>
        <w:rPr>
          <w:rFonts w:hint="eastAsia" w:ascii="宋体" w:hAnsi="宋体" w:eastAsia="宋体" w:cs="宋体"/>
          <w:b w:val="0"/>
          <w:bCs w:val="0"/>
          <w:color w:val="auto"/>
          <w:sz w:val="30"/>
          <w:szCs w:val="30"/>
        </w:rPr>
        <w:t>安全稳定综合治理工</w:t>
      </w:r>
      <w:r>
        <w:rPr>
          <w:rFonts w:hint="eastAsia" w:ascii="宋体" w:hAnsi="宋体" w:eastAsia="宋体" w:cs="宋体"/>
          <w:b w:val="0"/>
          <w:bCs w:val="0"/>
          <w:color w:val="auto"/>
          <w:sz w:val="30"/>
          <w:szCs w:val="30"/>
          <w:lang w:eastAsia="zh-CN"/>
        </w:rPr>
        <w:t>作</w:t>
      </w:r>
      <w:r>
        <w:rPr>
          <w:rFonts w:hint="eastAsia" w:ascii="宋体" w:hAnsi="宋体" w:eastAsia="宋体" w:cs="宋体"/>
          <w:b w:val="0"/>
          <w:bCs w:val="0"/>
          <w:color w:val="auto"/>
          <w:sz w:val="30"/>
          <w:szCs w:val="30"/>
        </w:rPr>
        <w:t>领导小组</w:t>
      </w:r>
      <w:r>
        <w:rPr>
          <w:rFonts w:hint="eastAsia" w:ascii="宋体" w:hAnsi="宋体" w:eastAsia="宋体" w:cs="宋体"/>
          <w:b w:val="0"/>
          <w:bCs w:val="0"/>
          <w:color w:val="auto"/>
          <w:sz w:val="30"/>
          <w:szCs w:val="30"/>
          <w:lang w:eastAsia="zh-CN"/>
        </w:rPr>
        <w:t>，</w:t>
      </w:r>
      <w:r>
        <w:rPr>
          <w:rFonts w:hint="eastAsia" w:ascii="宋体" w:hAnsi="宋体" w:eastAsia="宋体" w:cs="宋体"/>
          <w:color w:val="auto"/>
          <w:sz w:val="32"/>
          <w:szCs w:val="32"/>
        </w:rPr>
        <w:t>办公室设在</w:t>
      </w:r>
      <w:r>
        <w:rPr>
          <w:rFonts w:hint="eastAsia" w:ascii="宋体" w:hAnsi="宋体" w:eastAsia="宋体" w:cs="宋体"/>
          <w:color w:val="auto"/>
          <w:sz w:val="32"/>
          <w:szCs w:val="32"/>
          <w:lang w:eastAsia="zh-CN"/>
        </w:rPr>
        <w:t>航天大厦</w:t>
      </w:r>
      <w:r>
        <w:rPr>
          <w:rFonts w:hint="eastAsia" w:ascii="宋体" w:hAnsi="宋体" w:eastAsia="宋体" w:cs="宋体"/>
          <w:color w:val="auto"/>
          <w:sz w:val="32"/>
          <w:szCs w:val="32"/>
          <w:lang w:val="en-US" w:eastAsia="zh-CN"/>
        </w:rPr>
        <w:t>105室</w:t>
      </w:r>
      <w:r>
        <w:rPr>
          <w:rFonts w:hint="eastAsia" w:ascii="宋体" w:hAnsi="宋体" w:eastAsia="宋体" w:cs="宋体"/>
          <w:color w:val="auto"/>
          <w:sz w:val="32"/>
          <w:szCs w:val="32"/>
        </w:rPr>
        <w:t>，负责日常工作。各地各校要成立相应领导机构，统筹协调推动</w:t>
      </w:r>
      <w:r>
        <w:rPr>
          <w:rFonts w:hint="eastAsia" w:ascii="宋体" w:hAnsi="宋体" w:eastAsia="宋体" w:cs="宋体"/>
          <w:color w:val="auto"/>
          <w:sz w:val="32"/>
          <w:szCs w:val="32"/>
          <w:lang w:eastAsia="zh-CN"/>
        </w:rPr>
        <w:t>学</w:t>
      </w:r>
      <w:r>
        <w:rPr>
          <w:rFonts w:hint="eastAsia" w:ascii="宋体" w:hAnsi="宋体" w:eastAsia="宋体" w:cs="宋体"/>
          <w:color w:val="auto"/>
          <w:sz w:val="32"/>
          <w:szCs w:val="32"/>
        </w:rPr>
        <w:t>校专项整治工作。</w:t>
      </w:r>
    </w:p>
    <w:p>
      <w:pPr>
        <w:spacing w:line="580" w:lineRule="exact"/>
        <w:ind w:firstLine="643" w:firstLineChars="200"/>
        <w:rPr>
          <w:rFonts w:hint="eastAsia" w:ascii="宋体" w:hAnsi="宋体" w:eastAsia="宋体" w:cs="宋体"/>
          <w:color w:val="auto"/>
          <w:sz w:val="32"/>
          <w:szCs w:val="32"/>
        </w:rPr>
      </w:pPr>
      <w:r>
        <w:rPr>
          <w:rFonts w:hint="eastAsia" w:ascii="宋体" w:hAnsi="宋体" w:eastAsia="宋体" w:cs="宋体"/>
          <w:b/>
          <w:color w:val="auto"/>
          <w:sz w:val="32"/>
          <w:szCs w:val="32"/>
        </w:rPr>
        <w:t>（二）强化工作保障</w:t>
      </w:r>
      <w:r>
        <w:rPr>
          <w:rFonts w:hint="eastAsia" w:ascii="宋体" w:hAnsi="宋体" w:eastAsia="宋体" w:cs="宋体"/>
          <w:color w:val="auto"/>
          <w:sz w:val="32"/>
          <w:szCs w:val="32"/>
        </w:rPr>
        <w:t>。要进一步完善支持学校安全工作的政策体系，强化经费保障，优化支出结构，向重点风险防控项目和消除事故隐患工作倾斜。强化安全生产领域人才培训、技术研发及管理创新。落实安</w:t>
      </w:r>
      <w:r>
        <w:rPr>
          <w:rFonts w:hint="eastAsia" w:ascii="宋体" w:hAnsi="宋体" w:eastAsia="宋体" w:cs="宋体"/>
          <w:color w:val="auto"/>
          <w:sz w:val="32"/>
          <w:szCs w:val="32"/>
          <w:lang w:eastAsia="zh-CN"/>
        </w:rPr>
        <w:t>全责任风</w:t>
      </w:r>
      <w:r>
        <w:rPr>
          <w:rFonts w:hint="eastAsia" w:ascii="宋体" w:hAnsi="宋体" w:eastAsia="宋体" w:cs="宋体"/>
          <w:color w:val="auto"/>
          <w:sz w:val="32"/>
          <w:szCs w:val="32"/>
        </w:rPr>
        <w:t>险制度，推动保险机构落实事故预防技术规范，切实发挥参与风险评估管控和事故预防功能。</w:t>
      </w:r>
    </w:p>
    <w:p>
      <w:pPr>
        <w:spacing w:line="580" w:lineRule="exact"/>
        <w:ind w:firstLine="643" w:firstLineChars="200"/>
        <w:rPr>
          <w:rFonts w:hint="eastAsia" w:ascii="宋体" w:hAnsi="宋体" w:eastAsia="宋体" w:cs="宋体"/>
          <w:color w:val="auto"/>
          <w:sz w:val="32"/>
          <w:szCs w:val="32"/>
        </w:rPr>
      </w:pPr>
      <w:r>
        <w:rPr>
          <w:rFonts w:hint="eastAsia" w:ascii="宋体" w:hAnsi="宋体" w:eastAsia="宋体" w:cs="宋体"/>
          <w:b/>
          <w:color w:val="auto"/>
          <w:sz w:val="32"/>
          <w:szCs w:val="32"/>
        </w:rPr>
        <w:t>（三）强化考评问责</w:t>
      </w:r>
      <w:r>
        <w:rPr>
          <w:rFonts w:hint="eastAsia" w:ascii="宋体" w:hAnsi="宋体" w:eastAsia="宋体" w:cs="宋体"/>
          <w:color w:val="auto"/>
          <w:sz w:val="32"/>
          <w:szCs w:val="32"/>
        </w:rPr>
        <w:t>。省教育厅将安全专项整治三年行动纳入年度学校安全稳定工作考评，强化安全监管和跟踪问效</w:t>
      </w:r>
      <w:r>
        <w:rPr>
          <w:rFonts w:hint="eastAsia" w:ascii="宋体" w:hAnsi="宋体" w:eastAsia="宋体" w:cs="宋体"/>
          <w:color w:val="auto"/>
          <w:sz w:val="32"/>
          <w:szCs w:val="32"/>
          <w:lang w:eastAsia="zh-CN"/>
        </w:rPr>
        <w:t>。为</w:t>
      </w:r>
      <w:r>
        <w:rPr>
          <w:rFonts w:hint="eastAsia" w:ascii="宋体" w:hAnsi="宋体" w:eastAsia="宋体" w:cs="宋体"/>
          <w:color w:val="auto"/>
          <w:sz w:val="32"/>
          <w:szCs w:val="32"/>
        </w:rPr>
        <w:t>切实推动各项整治措施落实，确保取得实实在在的成效。</w:t>
      </w:r>
      <w:r>
        <w:rPr>
          <w:rFonts w:hint="eastAsia" w:ascii="宋体" w:hAnsi="宋体" w:eastAsia="宋体" w:cs="宋体"/>
          <w:color w:val="auto"/>
          <w:sz w:val="32"/>
          <w:szCs w:val="32"/>
          <w:lang w:eastAsia="zh-CN"/>
        </w:rPr>
        <w:t>坚决支持配合省教育厅</w:t>
      </w:r>
      <w:r>
        <w:rPr>
          <w:rFonts w:hint="eastAsia" w:ascii="宋体" w:hAnsi="宋体" w:eastAsia="宋体" w:cs="宋体"/>
          <w:color w:val="auto"/>
          <w:sz w:val="32"/>
          <w:szCs w:val="32"/>
        </w:rPr>
        <w:t>深入开展“四不两直”明查暗访和重大问题专项督导检查，推动各项安全措施落实，对整治工作不负责、不作为，分工责任不落实、措施不得力，重大问题隐患整改不到位，逾期没有完成目标任务的，严肃问责；对因整治工作失职渎职，导致发生重大安全事故的，依法追究相关单位和人员的法律责任。</w:t>
      </w:r>
    </w:p>
    <w:p>
      <w:pPr>
        <w:spacing w:line="580" w:lineRule="exact"/>
        <w:ind w:firstLine="640" w:firstLineChars="200"/>
        <w:rPr>
          <w:rFonts w:hint="eastAsia" w:ascii="宋体" w:hAnsi="宋体" w:eastAsia="宋体" w:cs="宋体"/>
          <w:color w:val="auto"/>
          <w:sz w:val="32"/>
          <w:szCs w:val="32"/>
        </w:rPr>
      </w:pPr>
      <w:r>
        <w:rPr>
          <w:rFonts w:hint="eastAsia" w:ascii="宋体" w:hAnsi="宋体" w:eastAsia="宋体" w:cs="宋体"/>
          <w:b w:val="0"/>
          <w:bCs w:val="0"/>
          <w:color w:val="auto"/>
          <w:sz w:val="32"/>
          <w:szCs w:val="32"/>
          <w:lang w:val="en-US" w:eastAsia="zh-CN"/>
        </w:rPr>
        <w:t>★</w:t>
      </w:r>
      <w:r>
        <w:rPr>
          <w:rFonts w:hint="eastAsia" w:ascii="宋体" w:hAnsi="宋体" w:eastAsia="宋体" w:cs="宋体"/>
          <w:color w:val="auto"/>
          <w:sz w:val="32"/>
          <w:szCs w:val="32"/>
        </w:rPr>
        <w:t>联系人：</w:t>
      </w:r>
      <w:r>
        <w:rPr>
          <w:rFonts w:hint="eastAsia" w:ascii="宋体" w:hAnsi="宋体" w:eastAsia="宋体" w:cs="宋体"/>
          <w:color w:val="auto"/>
          <w:sz w:val="32"/>
          <w:szCs w:val="32"/>
          <w:lang w:eastAsia="zh-CN"/>
        </w:rPr>
        <w:t>胡敏初</w:t>
      </w:r>
      <w:r>
        <w:rPr>
          <w:rFonts w:hint="eastAsia" w:ascii="宋体" w:hAnsi="宋体" w:eastAsia="宋体" w:cs="宋体"/>
          <w:color w:val="auto"/>
          <w:sz w:val="32"/>
          <w:szCs w:val="32"/>
        </w:rPr>
        <w:t>，联系电话：</w:t>
      </w:r>
      <w:r>
        <w:rPr>
          <w:rFonts w:hint="eastAsia" w:ascii="宋体" w:hAnsi="宋体" w:eastAsia="宋体" w:cs="宋体"/>
          <w:color w:val="auto"/>
          <w:sz w:val="32"/>
          <w:szCs w:val="32"/>
          <w:lang w:val="en-US" w:eastAsia="zh-CN"/>
        </w:rPr>
        <w:t>18707026770</w:t>
      </w:r>
      <w:r>
        <w:rPr>
          <w:rFonts w:hint="eastAsia" w:ascii="宋体" w:hAnsi="宋体" w:eastAsia="宋体" w:cs="宋体"/>
          <w:color w:val="auto"/>
          <w:sz w:val="32"/>
          <w:szCs w:val="32"/>
        </w:rPr>
        <w:t>，邮箱：</w:t>
      </w:r>
      <w:r>
        <w:rPr>
          <w:rFonts w:hint="eastAsia" w:ascii="宋体" w:hAnsi="宋体" w:eastAsia="宋体" w:cs="宋体"/>
          <w:color w:val="auto"/>
          <w:sz w:val="32"/>
          <w:szCs w:val="32"/>
          <w:lang w:val="en-US" w:eastAsia="zh-CN"/>
        </w:rPr>
        <w:t>591801535</w:t>
      </w:r>
      <w:r>
        <w:rPr>
          <w:rFonts w:hint="eastAsia" w:ascii="宋体" w:hAnsi="宋体" w:eastAsia="宋体" w:cs="宋体"/>
          <w:color w:val="auto"/>
          <w:sz w:val="32"/>
          <w:szCs w:val="32"/>
        </w:rPr>
        <w:t>@qq.com。</w:t>
      </w:r>
      <w:r>
        <w:rPr>
          <w:rFonts w:hint="eastAsia" w:ascii="宋体" w:hAnsi="宋体" w:eastAsia="宋体" w:cs="宋体"/>
          <w:b w:val="0"/>
          <w:bCs w:val="0"/>
          <w:color w:val="auto"/>
          <w:sz w:val="32"/>
          <w:szCs w:val="32"/>
          <w:lang w:val="en-US" w:eastAsia="zh-CN"/>
        </w:rPr>
        <w:t>★</w:t>
      </w:r>
    </w:p>
    <w:p>
      <w:pPr>
        <w:spacing w:line="580" w:lineRule="exact"/>
        <w:ind w:firstLine="640" w:firstLineChars="200"/>
        <w:rPr>
          <w:rFonts w:hint="eastAsia" w:ascii="宋体" w:hAnsi="宋体" w:eastAsia="宋体" w:cs="宋体"/>
          <w:color w:val="auto"/>
          <w:sz w:val="32"/>
          <w:szCs w:val="32"/>
        </w:rPr>
      </w:pPr>
    </w:p>
    <w:p>
      <w:pPr>
        <w:spacing w:line="580" w:lineRule="exact"/>
        <w:rPr>
          <w:rFonts w:hint="default" w:ascii="宋体" w:hAnsi="宋体" w:eastAsia="宋体" w:cs="宋体"/>
          <w:color w:val="auto"/>
          <w:sz w:val="32"/>
          <w:szCs w:val="32"/>
        </w:rPr>
      </w:pPr>
      <w:r>
        <w:rPr>
          <w:rFonts w:hint="default" w:ascii="宋体" w:hAnsi="宋体" w:eastAsia="宋体" w:cs="宋体"/>
          <w:color w:val="auto"/>
          <w:sz w:val="32"/>
          <w:szCs w:val="32"/>
        </w:rPr>
        <w:t>附件1：</w:t>
      </w:r>
    </w:p>
    <w:p>
      <w:pPr>
        <w:spacing w:line="580" w:lineRule="exact"/>
        <w:rPr>
          <w:rFonts w:hint="default" w:ascii="宋体" w:hAnsi="宋体" w:eastAsia="宋体" w:cs="宋体"/>
          <w:color w:val="auto"/>
          <w:sz w:val="32"/>
          <w:szCs w:val="32"/>
        </w:rPr>
      </w:pPr>
      <w:r>
        <w:rPr>
          <w:rFonts w:hint="default" w:ascii="宋体" w:hAnsi="宋体" w:eastAsia="宋体" w:cs="宋体"/>
          <w:color w:val="auto"/>
          <w:sz w:val="32"/>
          <w:szCs w:val="32"/>
        </w:rPr>
        <w:t xml:space="preserve">    </w:t>
      </w:r>
    </w:p>
    <w:p>
      <w:pPr>
        <w:ind w:firstLine="640" w:firstLineChars="200"/>
        <w:rPr>
          <w:rFonts w:hint="eastAsia" w:ascii="宋体" w:hAnsi="宋体" w:eastAsia="宋体" w:cs="宋体"/>
          <w:color w:val="auto"/>
          <w:sz w:val="32"/>
          <w:szCs w:val="32"/>
        </w:rPr>
      </w:pPr>
    </w:p>
    <w:p>
      <w:pPr>
        <w:widowControl/>
        <w:rPr>
          <w:rFonts w:hint="eastAsia" w:ascii="宋体" w:hAnsi="宋体" w:eastAsia="宋体" w:cs="宋体"/>
          <w:color w:val="auto"/>
          <w:sz w:val="32"/>
          <w:szCs w:val="32"/>
        </w:rPr>
      </w:pPr>
    </w:p>
    <w:p>
      <w:pPr>
        <w:ind w:firstLine="640" w:firstLineChars="200"/>
        <w:rPr>
          <w:rFonts w:hint="eastAsia" w:ascii="宋体" w:hAnsi="宋体" w:eastAsia="宋体" w:cs="宋体"/>
          <w:color w:val="auto"/>
          <w:sz w:val="32"/>
          <w:szCs w:val="32"/>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ascii="宋体" w:hAnsi="宋体" w:eastAsia="宋体" w:cs="宋体"/>
          <w:sz w:val="28"/>
          <w:szCs w:val="28"/>
        </w:rPr>
      </w:pPr>
      <w:r>
        <w:rPr>
          <w:rFonts w:hint="eastAsia" w:ascii="宋体" w:hAnsi="宋体" w:eastAsia="宋体" w:cs="宋体"/>
          <w:color w:val="auto"/>
          <w:sz w:val="32"/>
          <w:szCs w:val="32"/>
        </w:rPr>
        <w:t>附件：安全专项整治问题清单、任务清单、责任清单</w:t>
      </w:r>
    </w:p>
    <w:p>
      <w:pPr>
        <w:tabs>
          <w:tab w:val="left" w:pos="251"/>
        </w:tabs>
        <w:bidi w:val="0"/>
        <w:jc w:val="left"/>
        <w:rPr>
          <w:rFonts w:hint="default"/>
        </w:rPr>
        <w:sectPr>
          <w:footerReference r:id="rId3" w:type="default"/>
          <w:footerReference r:id="rId4" w:type="even"/>
          <w:pgSz w:w="11906" w:h="16838"/>
          <w:pgMar w:top="2098" w:right="1588" w:bottom="1871" w:left="1588" w:header="851" w:footer="1191" w:gutter="0"/>
          <w:cols w:space="425" w:num="1"/>
          <w:docGrid w:linePitch="979" w:charSpace="0"/>
        </w:sectPr>
      </w:pPr>
      <w:r>
        <w:rPr>
          <w:rFonts w:hint="default"/>
        </w:rPr>
        <w:tab/>
      </w:r>
    </w:p>
    <w:p>
      <w:pPr>
        <w:jc w:val="left"/>
        <w:rPr>
          <w:rFonts w:hint="eastAsia" w:ascii="宋体" w:hAnsi="宋体" w:eastAsia="宋体" w:cs="宋体"/>
          <w:color w:val="auto"/>
          <w:sz w:val="32"/>
          <w:szCs w:val="32"/>
        </w:rPr>
      </w:pPr>
      <w:r>
        <w:rPr>
          <w:rFonts w:hint="eastAsia" w:ascii="宋体" w:hAnsi="宋体" w:eastAsia="宋体" w:cs="宋体"/>
          <w:color w:val="auto"/>
          <w:sz w:val="32"/>
          <w:szCs w:val="32"/>
        </w:rPr>
        <w:t>附件</w:t>
      </w:r>
    </w:p>
    <w:p>
      <w:pPr>
        <w:spacing w:before="120" w:beforeLines="50" w:after="120" w:afterLines="50"/>
        <w:jc w:val="center"/>
        <w:rPr>
          <w:rFonts w:hint="eastAsia" w:ascii="宋体" w:hAnsi="宋体" w:eastAsia="宋体" w:cs="宋体"/>
          <w:color w:val="auto"/>
          <w:sz w:val="44"/>
          <w:szCs w:val="44"/>
        </w:rPr>
      </w:pPr>
      <w:r>
        <w:rPr>
          <w:rFonts w:hint="eastAsia" w:ascii="宋体" w:hAnsi="宋体" w:eastAsia="宋体" w:cs="宋体"/>
          <w:color w:val="auto"/>
          <w:sz w:val="44"/>
          <w:szCs w:val="44"/>
        </w:rPr>
        <w:t>安全专项整治问题清单、任务清单、责任清单</w:t>
      </w:r>
    </w:p>
    <w:tbl>
      <w:tblPr>
        <w:tblStyle w:val="4"/>
        <w:tblW w:w="148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1"/>
        <w:gridCol w:w="1977"/>
        <w:gridCol w:w="2091"/>
        <w:gridCol w:w="3686"/>
        <w:gridCol w:w="1720"/>
        <w:gridCol w:w="3364"/>
        <w:gridCol w:w="1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831" w:type="dxa"/>
            <w:noWrap w:val="0"/>
            <w:vAlign w:val="center"/>
          </w:tcPr>
          <w:p>
            <w:pPr>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977" w:type="dxa"/>
            <w:noWrap w:val="0"/>
            <w:vAlign w:val="center"/>
          </w:tcPr>
          <w:p>
            <w:pPr>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整治项目</w:t>
            </w:r>
          </w:p>
        </w:tc>
        <w:tc>
          <w:tcPr>
            <w:tcW w:w="2091" w:type="dxa"/>
            <w:noWrap w:val="0"/>
            <w:vAlign w:val="center"/>
          </w:tcPr>
          <w:p>
            <w:pPr>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整治内容</w:t>
            </w:r>
          </w:p>
        </w:tc>
        <w:tc>
          <w:tcPr>
            <w:tcW w:w="3686" w:type="dxa"/>
            <w:noWrap w:val="0"/>
            <w:vAlign w:val="center"/>
          </w:tcPr>
          <w:p>
            <w:pPr>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突出问题</w:t>
            </w:r>
          </w:p>
        </w:tc>
        <w:tc>
          <w:tcPr>
            <w:tcW w:w="1720" w:type="dxa"/>
            <w:noWrap w:val="0"/>
            <w:vAlign w:val="center"/>
          </w:tcPr>
          <w:p>
            <w:pPr>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责任单位</w:t>
            </w:r>
          </w:p>
        </w:tc>
        <w:tc>
          <w:tcPr>
            <w:tcW w:w="3364" w:type="dxa"/>
            <w:noWrap w:val="0"/>
            <w:vAlign w:val="center"/>
          </w:tcPr>
          <w:p>
            <w:pPr>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整治要求</w:t>
            </w:r>
          </w:p>
        </w:tc>
        <w:tc>
          <w:tcPr>
            <w:tcW w:w="1212" w:type="dxa"/>
            <w:noWrap w:val="0"/>
            <w:vAlign w:val="center"/>
          </w:tcPr>
          <w:p>
            <w:pPr>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2" w:hRule="atLeast"/>
          <w:jc w:val="center"/>
        </w:trPr>
        <w:tc>
          <w:tcPr>
            <w:tcW w:w="831" w:type="dxa"/>
            <w:noWrap w:val="0"/>
            <w:vAlign w:val="center"/>
          </w:tcPr>
          <w:p>
            <w:pPr>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977" w:type="dxa"/>
            <w:vMerge w:val="restart"/>
            <w:noWrap w:val="0"/>
            <w:vAlign w:val="center"/>
          </w:tcPr>
          <w:p>
            <w:pPr>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学习宣传贯彻习近平总书记重要论述</w:t>
            </w:r>
          </w:p>
        </w:tc>
        <w:tc>
          <w:tcPr>
            <w:tcW w:w="2091" w:type="dxa"/>
            <w:noWrap w:val="0"/>
            <w:vAlign w:val="center"/>
          </w:tcPr>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政治站位不高，安全发展理念不到位</w:t>
            </w:r>
          </w:p>
        </w:tc>
        <w:tc>
          <w:tcPr>
            <w:tcW w:w="3686" w:type="dxa"/>
            <w:noWrap w:val="0"/>
            <w:vAlign w:val="center"/>
          </w:tcPr>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学习习近平总书记关于安全生产重要论述不深不透，不能正确处理好安全发展的关系，对健全落实学校安全工作责任制、防范化解重大风险的重要性认识不足。</w:t>
            </w:r>
          </w:p>
        </w:tc>
        <w:tc>
          <w:tcPr>
            <w:tcW w:w="1720" w:type="dxa"/>
            <w:vMerge w:val="restart"/>
            <w:noWrap w:val="0"/>
            <w:vAlign w:val="center"/>
          </w:tcPr>
          <w:p>
            <w:pPr>
              <w:spacing w:line="340" w:lineRule="exact"/>
              <w:jc w:val="left"/>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学校各相关处室、二级学院按职责分工负责</w:t>
            </w:r>
          </w:p>
        </w:tc>
        <w:tc>
          <w:tcPr>
            <w:tcW w:w="3364" w:type="dxa"/>
            <w:noWrap w:val="0"/>
            <w:vAlign w:val="center"/>
          </w:tcPr>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召开党组会议专题学习，在单位官方网、端、微等平台开设专题专栏，推出重点报道、学习文章、访谈评论等，开展习近平总书记重要论述宣讲工作。</w:t>
            </w:r>
          </w:p>
        </w:tc>
        <w:tc>
          <w:tcPr>
            <w:tcW w:w="1212" w:type="dxa"/>
            <w:noWrap w:val="0"/>
            <w:vAlign w:val="center"/>
          </w:tcPr>
          <w:p>
            <w:pPr>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立整立改</w:t>
            </w:r>
          </w:p>
          <w:p>
            <w:pPr>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5" w:hRule="atLeast"/>
          <w:jc w:val="center"/>
        </w:trPr>
        <w:tc>
          <w:tcPr>
            <w:tcW w:w="831" w:type="dxa"/>
            <w:noWrap w:val="0"/>
            <w:vAlign w:val="center"/>
          </w:tcPr>
          <w:p>
            <w:pPr>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977" w:type="dxa"/>
            <w:vMerge w:val="continue"/>
            <w:noWrap w:val="0"/>
            <w:vAlign w:val="center"/>
          </w:tcPr>
          <w:p>
            <w:pPr>
              <w:spacing w:line="340" w:lineRule="exact"/>
              <w:jc w:val="center"/>
              <w:rPr>
                <w:rFonts w:hint="eastAsia" w:ascii="宋体" w:hAnsi="宋体" w:eastAsia="宋体" w:cs="宋体"/>
                <w:color w:val="auto"/>
                <w:sz w:val="24"/>
                <w:szCs w:val="24"/>
              </w:rPr>
            </w:pPr>
          </w:p>
        </w:tc>
        <w:tc>
          <w:tcPr>
            <w:tcW w:w="2091" w:type="dxa"/>
            <w:noWrap w:val="0"/>
            <w:vAlign w:val="center"/>
          </w:tcPr>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学校安全工作责任落实不到位</w:t>
            </w:r>
          </w:p>
        </w:tc>
        <w:tc>
          <w:tcPr>
            <w:tcW w:w="3686" w:type="dxa"/>
            <w:noWrap w:val="0"/>
            <w:vAlign w:val="center"/>
          </w:tcPr>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学校安全责任制不健全，分工不明，责任不清，措施不具体，学校安全基础保障薄弱。</w:t>
            </w:r>
          </w:p>
        </w:tc>
        <w:tc>
          <w:tcPr>
            <w:tcW w:w="1720" w:type="dxa"/>
            <w:vMerge w:val="continue"/>
            <w:noWrap w:val="0"/>
            <w:vAlign w:val="center"/>
          </w:tcPr>
          <w:p>
            <w:pPr>
              <w:spacing w:line="340" w:lineRule="exact"/>
              <w:jc w:val="center"/>
              <w:rPr>
                <w:rFonts w:hint="eastAsia" w:ascii="宋体" w:hAnsi="宋体" w:eastAsia="宋体" w:cs="宋体"/>
                <w:color w:val="auto"/>
                <w:sz w:val="24"/>
                <w:szCs w:val="24"/>
              </w:rPr>
            </w:pPr>
          </w:p>
        </w:tc>
        <w:tc>
          <w:tcPr>
            <w:tcW w:w="3364" w:type="dxa"/>
            <w:noWrap w:val="0"/>
            <w:vAlign w:val="center"/>
          </w:tcPr>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认真落实《全省教育系统贯彻落实〈江西省党政领导干部安全生产责任制实施细则〉的办法》，严格“党政同责、一岗双责”，建立“人人有责、层层负责、各负其责”的全员安全责任体系，健全“明责、知责、履责、问责”的安全责任运行机制。</w:t>
            </w:r>
          </w:p>
        </w:tc>
        <w:tc>
          <w:tcPr>
            <w:tcW w:w="1212" w:type="dxa"/>
            <w:noWrap w:val="0"/>
            <w:vAlign w:val="center"/>
          </w:tcPr>
          <w:p>
            <w:pPr>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立整立改</w:t>
            </w:r>
          </w:p>
          <w:p>
            <w:pPr>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31" w:type="dxa"/>
            <w:vMerge w:val="restart"/>
            <w:noWrap w:val="0"/>
            <w:vAlign w:val="center"/>
          </w:tcPr>
          <w:p>
            <w:pPr>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977" w:type="dxa"/>
            <w:vMerge w:val="restart"/>
            <w:noWrap w:val="0"/>
            <w:vAlign w:val="center"/>
          </w:tcPr>
          <w:p>
            <w:pPr>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学校安全风险防控能力建设</w:t>
            </w:r>
          </w:p>
        </w:tc>
        <w:tc>
          <w:tcPr>
            <w:tcW w:w="2091" w:type="dxa"/>
            <w:vMerge w:val="restart"/>
            <w:noWrap w:val="0"/>
            <w:vAlign w:val="center"/>
          </w:tcPr>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校园安全管理能力薄弱</w:t>
            </w:r>
          </w:p>
        </w:tc>
        <w:tc>
          <w:tcPr>
            <w:tcW w:w="3686" w:type="dxa"/>
            <w:vMerge w:val="restart"/>
            <w:noWrap w:val="0"/>
            <w:vAlign w:val="center"/>
          </w:tcPr>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校园安防“三个百分之百”建设滞后，专职保安员配备不齐，年龄老化；一键式报警装置和视频监控系统未与公安机关联网运用。</w:t>
            </w:r>
          </w:p>
        </w:tc>
        <w:tc>
          <w:tcPr>
            <w:tcW w:w="1720" w:type="dxa"/>
            <w:vMerge w:val="restart"/>
            <w:noWrap w:val="0"/>
            <w:vAlign w:val="center"/>
          </w:tcPr>
          <w:p>
            <w:pPr>
              <w:spacing w:line="340" w:lineRule="exact"/>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人事处、保卫处、学校网络中心</w:t>
            </w:r>
          </w:p>
        </w:tc>
        <w:tc>
          <w:tcPr>
            <w:tcW w:w="3364" w:type="dxa"/>
            <w:tcBorders>
              <w:bottom w:val="single" w:color="auto" w:sz="4" w:space="0"/>
            </w:tcBorders>
            <w:noWrap w:val="0"/>
            <w:vAlign w:val="center"/>
          </w:tcPr>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学校100%封闭化管理、100%配备专职保安、100%安装一键式保警装置和视频监控系统并与公安部门联网运用。</w:t>
            </w:r>
          </w:p>
        </w:tc>
        <w:tc>
          <w:tcPr>
            <w:tcW w:w="1212" w:type="dxa"/>
            <w:tcBorders>
              <w:bottom w:val="single" w:color="auto" w:sz="4" w:space="0"/>
            </w:tcBorders>
            <w:noWrap w:val="0"/>
            <w:vAlign w:val="center"/>
          </w:tcPr>
          <w:p>
            <w:pPr>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31" w:type="dxa"/>
            <w:vMerge w:val="continue"/>
            <w:noWrap w:val="0"/>
            <w:vAlign w:val="center"/>
          </w:tcPr>
          <w:p>
            <w:pPr>
              <w:spacing w:line="340" w:lineRule="exact"/>
              <w:jc w:val="center"/>
              <w:rPr>
                <w:rFonts w:hint="eastAsia" w:ascii="宋体" w:hAnsi="宋体" w:eastAsia="宋体" w:cs="宋体"/>
                <w:color w:val="auto"/>
                <w:sz w:val="24"/>
                <w:szCs w:val="24"/>
              </w:rPr>
            </w:pPr>
          </w:p>
        </w:tc>
        <w:tc>
          <w:tcPr>
            <w:tcW w:w="1977" w:type="dxa"/>
            <w:vMerge w:val="continue"/>
            <w:noWrap w:val="0"/>
            <w:vAlign w:val="center"/>
          </w:tcPr>
          <w:p>
            <w:pPr>
              <w:spacing w:line="340" w:lineRule="exact"/>
              <w:jc w:val="center"/>
              <w:rPr>
                <w:rFonts w:hint="eastAsia" w:ascii="宋体" w:hAnsi="宋体" w:eastAsia="宋体" w:cs="宋体"/>
                <w:color w:val="auto"/>
                <w:sz w:val="24"/>
                <w:szCs w:val="24"/>
              </w:rPr>
            </w:pPr>
          </w:p>
        </w:tc>
        <w:tc>
          <w:tcPr>
            <w:tcW w:w="2091" w:type="dxa"/>
            <w:vMerge w:val="continue"/>
            <w:noWrap w:val="0"/>
            <w:vAlign w:val="center"/>
          </w:tcPr>
          <w:p>
            <w:pPr>
              <w:spacing w:line="340" w:lineRule="exact"/>
              <w:rPr>
                <w:rFonts w:hint="eastAsia" w:ascii="宋体" w:hAnsi="宋体" w:eastAsia="宋体" w:cs="宋体"/>
                <w:color w:val="auto"/>
                <w:sz w:val="24"/>
                <w:szCs w:val="24"/>
              </w:rPr>
            </w:pPr>
          </w:p>
        </w:tc>
        <w:tc>
          <w:tcPr>
            <w:tcW w:w="3686" w:type="dxa"/>
            <w:vMerge w:val="continue"/>
            <w:noWrap w:val="0"/>
            <w:vAlign w:val="center"/>
          </w:tcPr>
          <w:p>
            <w:pPr>
              <w:spacing w:line="340" w:lineRule="exact"/>
              <w:rPr>
                <w:rFonts w:hint="eastAsia" w:ascii="宋体" w:hAnsi="宋体" w:eastAsia="宋体" w:cs="宋体"/>
                <w:color w:val="auto"/>
                <w:sz w:val="24"/>
                <w:szCs w:val="24"/>
              </w:rPr>
            </w:pPr>
          </w:p>
        </w:tc>
        <w:tc>
          <w:tcPr>
            <w:tcW w:w="1720" w:type="dxa"/>
            <w:vMerge w:val="continue"/>
            <w:noWrap w:val="0"/>
            <w:vAlign w:val="center"/>
          </w:tcPr>
          <w:p>
            <w:pPr>
              <w:spacing w:line="340" w:lineRule="exact"/>
              <w:jc w:val="center"/>
              <w:rPr>
                <w:rFonts w:hint="eastAsia" w:ascii="宋体" w:hAnsi="宋体" w:eastAsia="宋体" w:cs="宋体"/>
                <w:color w:val="auto"/>
                <w:sz w:val="24"/>
                <w:szCs w:val="24"/>
              </w:rPr>
            </w:pPr>
          </w:p>
        </w:tc>
        <w:tc>
          <w:tcPr>
            <w:tcW w:w="3364" w:type="dxa"/>
            <w:tcBorders>
              <w:top w:val="single" w:color="auto" w:sz="4" w:space="0"/>
            </w:tcBorders>
            <w:noWrap w:val="0"/>
            <w:vAlign w:val="center"/>
          </w:tcPr>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依托教育城域网络，推动“全省学校安全监控平台”、“全省学校智慧消防（用电）平台”和“全省学生心理危机干预平台”建设。</w:t>
            </w:r>
          </w:p>
        </w:tc>
        <w:tc>
          <w:tcPr>
            <w:tcW w:w="1212" w:type="dxa"/>
            <w:tcBorders>
              <w:top w:val="single" w:color="auto" w:sz="4" w:space="0"/>
            </w:tcBorders>
            <w:noWrap w:val="0"/>
            <w:vAlign w:val="center"/>
          </w:tcPr>
          <w:p>
            <w:pPr>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2022年底前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31" w:type="dxa"/>
            <w:noWrap w:val="0"/>
            <w:vAlign w:val="center"/>
          </w:tcPr>
          <w:p>
            <w:pPr>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977" w:type="dxa"/>
            <w:vMerge w:val="restart"/>
            <w:noWrap w:val="0"/>
            <w:vAlign w:val="center"/>
          </w:tcPr>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重点领域安全专项治理</w:t>
            </w:r>
          </w:p>
        </w:tc>
        <w:tc>
          <w:tcPr>
            <w:tcW w:w="2091" w:type="dxa"/>
            <w:noWrap w:val="0"/>
            <w:vAlign w:val="center"/>
          </w:tcPr>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校园火灾防控安全隐患</w:t>
            </w:r>
          </w:p>
        </w:tc>
        <w:tc>
          <w:tcPr>
            <w:tcW w:w="3686" w:type="dxa"/>
            <w:noWrap w:val="0"/>
            <w:vAlign w:val="center"/>
          </w:tcPr>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安全投入少，迎检设施</w:t>
            </w:r>
            <w:r>
              <w:rPr>
                <w:rFonts w:hint="eastAsia" w:ascii="宋体" w:hAnsi="宋体" w:eastAsia="宋体" w:cs="宋体"/>
                <w:color w:val="auto"/>
                <w:sz w:val="24"/>
                <w:szCs w:val="24"/>
                <w:lang w:eastAsia="zh-CN"/>
              </w:rPr>
              <w:t>差</w:t>
            </w:r>
            <w:r>
              <w:rPr>
                <w:rFonts w:hint="eastAsia" w:ascii="宋体" w:hAnsi="宋体" w:eastAsia="宋体" w:cs="宋体"/>
                <w:color w:val="auto"/>
                <w:sz w:val="24"/>
                <w:szCs w:val="24"/>
              </w:rPr>
              <w:t>，安全管理水平低，师生消防安全意识薄弱。</w:t>
            </w:r>
          </w:p>
        </w:tc>
        <w:tc>
          <w:tcPr>
            <w:tcW w:w="1720" w:type="dxa"/>
            <w:noWrap w:val="0"/>
            <w:vAlign w:val="center"/>
          </w:tcPr>
          <w:p>
            <w:pPr>
              <w:spacing w:line="34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综治办、学工处、总务处、基建办、宿管办、二级学院及相关协调部门</w:t>
            </w:r>
          </w:p>
          <w:p>
            <w:pPr>
              <w:spacing w:line="340" w:lineRule="exact"/>
              <w:jc w:val="left"/>
              <w:rPr>
                <w:rFonts w:hint="eastAsia" w:ascii="宋体" w:hAnsi="宋体" w:eastAsia="宋体" w:cs="宋体"/>
                <w:color w:val="auto"/>
                <w:sz w:val="24"/>
                <w:szCs w:val="24"/>
              </w:rPr>
            </w:pPr>
          </w:p>
        </w:tc>
        <w:tc>
          <w:tcPr>
            <w:tcW w:w="3364" w:type="dxa"/>
            <w:noWrap w:val="0"/>
            <w:vAlign w:val="center"/>
          </w:tcPr>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集中开展消防安全隐患排查整治，加强小学校、小幼儿园消防安全综合治理，对老旧建筑进行消防改造升级，推动物联网监控系统和校园智慧消防（用电）平台建设。</w:t>
            </w:r>
          </w:p>
        </w:tc>
        <w:tc>
          <w:tcPr>
            <w:tcW w:w="1212" w:type="dxa"/>
            <w:noWrap w:val="0"/>
            <w:vAlign w:val="center"/>
          </w:tcPr>
          <w:p>
            <w:pPr>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2022年底前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31" w:type="dxa"/>
            <w:noWrap w:val="0"/>
            <w:vAlign w:val="center"/>
          </w:tcPr>
          <w:p>
            <w:pPr>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977" w:type="dxa"/>
            <w:vMerge w:val="continue"/>
            <w:noWrap w:val="0"/>
            <w:vAlign w:val="center"/>
          </w:tcPr>
          <w:p>
            <w:pPr>
              <w:spacing w:line="340" w:lineRule="exact"/>
              <w:jc w:val="center"/>
              <w:rPr>
                <w:rFonts w:hint="eastAsia" w:ascii="宋体" w:hAnsi="宋体" w:eastAsia="宋体" w:cs="宋体"/>
                <w:color w:val="auto"/>
                <w:sz w:val="24"/>
                <w:szCs w:val="24"/>
              </w:rPr>
            </w:pPr>
          </w:p>
        </w:tc>
        <w:tc>
          <w:tcPr>
            <w:tcW w:w="2091" w:type="dxa"/>
            <w:noWrap w:val="0"/>
            <w:vAlign w:val="center"/>
          </w:tcPr>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学校食堂管理不正规</w:t>
            </w:r>
          </w:p>
        </w:tc>
        <w:tc>
          <w:tcPr>
            <w:tcW w:w="3686" w:type="dxa"/>
            <w:noWrap w:val="0"/>
            <w:vAlign w:val="center"/>
          </w:tcPr>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食品安全主体责任不落实，食堂设施设备不全，操作间卫生条件不达标。</w:t>
            </w:r>
          </w:p>
        </w:tc>
        <w:tc>
          <w:tcPr>
            <w:tcW w:w="1720" w:type="dxa"/>
            <w:noWrap w:val="0"/>
            <w:vAlign w:val="center"/>
          </w:tcPr>
          <w:p>
            <w:pPr>
              <w:spacing w:line="3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总务处</w:t>
            </w:r>
          </w:p>
        </w:tc>
        <w:tc>
          <w:tcPr>
            <w:tcW w:w="3364" w:type="dxa"/>
            <w:noWrap w:val="0"/>
            <w:vAlign w:val="center"/>
          </w:tcPr>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建立食品安全追溯体系，落实食品原料进货查验制度，提高校园食堂“互联网+明厨亮灶”覆盖率。</w:t>
            </w:r>
          </w:p>
        </w:tc>
        <w:tc>
          <w:tcPr>
            <w:tcW w:w="1212" w:type="dxa"/>
            <w:noWrap w:val="0"/>
            <w:vAlign w:val="center"/>
          </w:tcPr>
          <w:p>
            <w:pPr>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2022年底前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31" w:type="dxa"/>
            <w:tcBorders>
              <w:bottom w:val="single" w:color="auto" w:sz="4" w:space="0"/>
            </w:tcBorders>
            <w:noWrap w:val="0"/>
            <w:vAlign w:val="center"/>
          </w:tcPr>
          <w:p>
            <w:pPr>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977" w:type="dxa"/>
            <w:vMerge w:val="continue"/>
            <w:noWrap w:val="0"/>
            <w:vAlign w:val="center"/>
          </w:tcPr>
          <w:p>
            <w:pPr>
              <w:spacing w:line="340" w:lineRule="exact"/>
              <w:jc w:val="center"/>
              <w:rPr>
                <w:rFonts w:hint="eastAsia" w:ascii="宋体" w:hAnsi="宋体" w:eastAsia="宋体" w:cs="宋体"/>
                <w:color w:val="auto"/>
                <w:sz w:val="24"/>
                <w:szCs w:val="24"/>
              </w:rPr>
            </w:pPr>
          </w:p>
        </w:tc>
        <w:tc>
          <w:tcPr>
            <w:tcW w:w="2091" w:type="dxa"/>
            <w:tcBorders>
              <w:bottom w:val="single" w:color="auto" w:sz="4" w:space="0"/>
            </w:tcBorders>
            <w:noWrap w:val="0"/>
            <w:vAlign w:val="center"/>
          </w:tcPr>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危险化学品使用管理不规范</w:t>
            </w:r>
          </w:p>
        </w:tc>
        <w:tc>
          <w:tcPr>
            <w:tcW w:w="3686" w:type="dxa"/>
            <w:tcBorders>
              <w:bottom w:val="single" w:color="auto" w:sz="4" w:space="0"/>
            </w:tcBorders>
            <w:noWrap w:val="0"/>
            <w:vAlign w:val="center"/>
          </w:tcPr>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实验室安全管理责任制不健全，安全措施不落实，危化品使用管理存在薄弱环节。</w:t>
            </w:r>
          </w:p>
        </w:tc>
        <w:tc>
          <w:tcPr>
            <w:tcW w:w="1720" w:type="dxa"/>
            <w:tcBorders>
              <w:bottom w:val="single" w:color="auto" w:sz="4" w:space="0"/>
            </w:tcBorders>
            <w:noWrap w:val="0"/>
            <w:vAlign w:val="center"/>
          </w:tcPr>
          <w:p>
            <w:pPr>
              <w:spacing w:line="34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教务处、综治办及相关部门</w:t>
            </w:r>
          </w:p>
        </w:tc>
        <w:tc>
          <w:tcPr>
            <w:tcW w:w="3364" w:type="dxa"/>
            <w:tcBorders>
              <w:bottom w:val="single" w:color="auto" w:sz="4" w:space="0"/>
            </w:tcBorders>
            <w:noWrap w:val="0"/>
            <w:vAlign w:val="center"/>
          </w:tcPr>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健全实验室、危化品仓库安全分级管理责任体系，全面开展危险化学品等排查，落实化学品存放、管理措施，规范化学品使用和废液处置程序。</w:t>
            </w:r>
          </w:p>
        </w:tc>
        <w:tc>
          <w:tcPr>
            <w:tcW w:w="1212" w:type="dxa"/>
            <w:tcBorders>
              <w:bottom w:val="single" w:color="auto" w:sz="4" w:space="0"/>
            </w:tcBorders>
            <w:noWrap w:val="0"/>
            <w:vAlign w:val="center"/>
          </w:tcPr>
          <w:p>
            <w:pPr>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2" w:hRule="atLeast"/>
          <w:jc w:val="center"/>
        </w:trPr>
        <w:tc>
          <w:tcPr>
            <w:tcW w:w="831" w:type="dxa"/>
            <w:tcBorders>
              <w:top w:val="single" w:color="auto" w:sz="4" w:space="0"/>
              <w:bottom w:val="single" w:color="auto" w:sz="4" w:space="0"/>
            </w:tcBorders>
            <w:noWrap w:val="0"/>
            <w:vAlign w:val="center"/>
          </w:tcPr>
          <w:p>
            <w:pPr>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977" w:type="dxa"/>
            <w:vMerge w:val="restart"/>
            <w:noWrap w:val="0"/>
            <w:vAlign w:val="center"/>
          </w:tcPr>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重点领域安全专项治理</w:t>
            </w:r>
          </w:p>
        </w:tc>
        <w:tc>
          <w:tcPr>
            <w:tcW w:w="2091" w:type="dxa"/>
            <w:tcBorders>
              <w:top w:val="single" w:color="auto" w:sz="4" w:space="0"/>
              <w:bottom w:val="single" w:color="auto" w:sz="4" w:space="0"/>
            </w:tcBorders>
            <w:noWrap w:val="0"/>
            <w:vAlign w:val="center"/>
          </w:tcPr>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校车安全监管不到位</w:t>
            </w:r>
          </w:p>
        </w:tc>
        <w:tc>
          <w:tcPr>
            <w:tcW w:w="3686" w:type="dxa"/>
            <w:tcBorders>
              <w:top w:val="single" w:color="auto" w:sz="4" w:space="0"/>
              <w:bottom w:val="single" w:color="auto" w:sz="4" w:space="0"/>
            </w:tcBorders>
            <w:noWrap w:val="0"/>
            <w:vAlign w:val="center"/>
          </w:tcPr>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违规使用非专用校车接送学生上、下学。</w:t>
            </w:r>
          </w:p>
        </w:tc>
        <w:tc>
          <w:tcPr>
            <w:tcW w:w="1720" w:type="dxa"/>
            <w:tcBorders>
              <w:top w:val="single" w:color="auto" w:sz="4" w:space="0"/>
              <w:bottom w:val="single" w:color="auto" w:sz="4" w:space="0"/>
            </w:tcBorders>
            <w:noWrap w:val="0"/>
            <w:vAlign w:val="center"/>
          </w:tcPr>
          <w:p>
            <w:pPr>
              <w:spacing w:line="34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党政办、车管组</w:t>
            </w:r>
          </w:p>
        </w:tc>
        <w:tc>
          <w:tcPr>
            <w:tcW w:w="3364" w:type="dxa"/>
            <w:tcBorders>
              <w:top w:val="single" w:color="auto" w:sz="4" w:space="0"/>
              <w:bottom w:val="single" w:color="auto" w:sz="4" w:space="0"/>
            </w:tcBorders>
            <w:noWrap w:val="0"/>
            <w:vAlign w:val="center"/>
          </w:tcPr>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健全和落实校车安全管理制度，规范发展专用校车，清理不达标载客汽车、非专用校车以及农用车、面包车等改装“黑校车”。</w:t>
            </w:r>
          </w:p>
        </w:tc>
        <w:tc>
          <w:tcPr>
            <w:tcW w:w="1212" w:type="dxa"/>
            <w:tcBorders>
              <w:top w:val="single" w:color="auto" w:sz="4" w:space="0"/>
              <w:bottom w:val="single" w:color="auto" w:sz="4" w:space="0"/>
            </w:tcBorders>
            <w:noWrap w:val="0"/>
            <w:vAlign w:val="center"/>
          </w:tcPr>
          <w:p>
            <w:pPr>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2" w:hRule="atLeast"/>
          <w:jc w:val="center"/>
        </w:trPr>
        <w:tc>
          <w:tcPr>
            <w:tcW w:w="831" w:type="dxa"/>
            <w:tcBorders>
              <w:top w:val="single" w:color="auto" w:sz="4" w:space="0"/>
              <w:bottom w:val="single" w:color="auto" w:sz="4" w:space="0"/>
            </w:tcBorders>
            <w:noWrap w:val="0"/>
            <w:vAlign w:val="center"/>
          </w:tcPr>
          <w:p>
            <w:pPr>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977" w:type="dxa"/>
            <w:vMerge w:val="continue"/>
            <w:tcBorders>
              <w:bottom w:val="single" w:color="auto" w:sz="4" w:space="0"/>
            </w:tcBorders>
            <w:noWrap w:val="0"/>
            <w:vAlign w:val="center"/>
          </w:tcPr>
          <w:p>
            <w:pPr>
              <w:spacing w:line="340" w:lineRule="exact"/>
              <w:jc w:val="center"/>
              <w:rPr>
                <w:rFonts w:hint="eastAsia" w:ascii="宋体" w:hAnsi="宋体" w:eastAsia="宋体" w:cs="宋体"/>
                <w:color w:val="auto"/>
                <w:sz w:val="24"/>
                <w:szCs w:val="24"/>
              </w:rPr>
            </w:pPr>
          </w:p>
        </w:tc>
        <w:tc>
          <w:tcPr>
            <w:tcW w:w="2091" w:type="dxa"/>
            <w:tcBorders>
              <w:top w:val="single" w:color="auto" w:sz="4" w:space="0"/>
              <w:bottom w:val="single" w:color="auto" w:sz="4" w:space="0"/>
            </w:tcBorders>
            <w:noWrap w:val="0"/>
            <w:vAlign w:val="center"/>
          </w:tcPr>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溺水事故易发多发</w:t>
            </w:r>
          </w:p>
        </w:tc>
        <w:tc>
          <w:tcPr>
            <w:tcW w:w="3686" w:type="dxa"/>
            <w:tcBorders>
              <w:top w:val="single" w:color="auto" w:sz="4" w:space="0"/>
              <w:bottom w:val="single" w:color="auto" w:sz="4" w:space="0"/>
            </w:tcBorders>
            <w:noWrap w:val="0"/>
            <w:vAlign w:val="center"/>
          </w:tcPr>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学生安全意识入脑入心不够、家长安全监管自觉自愿不够、部门安全联防联控联治不够。</w:t>
            </w:r>
          </w:p>
        </w:tc>
        <w:tc>
          <w:tcPr>
            <w:tcW w:w="1720" w:type="dxa"/>
            <w:tcBorders>
              <w:top w:val="single" w:color="auto" w:sz="4" w:space="0"/>
              <w:bottom w:val="single" w:color="auto" w:sz="4" w:space="0"/>
            </w:tcBorders>
            <w:noWrap w:val="0"/>
            <w:vAlign w:val="center"/>
          </w:tcPr>
          <w:p>
            <w:pPr>
              <w:spacing w:line="3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学工处</w:t>
            </w:r>
          </w:p>
        </w:tc>
        <w:tc>
          <w:tcPr>
            <w:tcW w:w="3364" w:type="dxa"/>
            <w:tcBorders>
              <w:top w:val="single" w:color="auto" w:sz="4" w:space="0"/>
              <w:bottom w:val="single" w:color="auto" w:sz="4" w:space="0"/>
            </w:tcBorders>
            <w:noWrap w:val="0"/>
            <w:vAlign w:val="center"/>
          </w:tcPr>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落实《防溺水任务清单》，加强学校防溺水集中宣传教育，提高学生安全意识；加强家校合作，督促家长履行监管责任；推动地方政府和各有关部门联防联动，营造全社会共同关注氛围。</w:t>
            </w:r>
          </w:p>
        </w:tc>
        <w:tc>
          <w:tcPr>
            <w:tcW w:w="1212" w:type="dxa"/>
            <w:tcBorders>
              <w:top w:val="single" w:color="auto" w:sz="4" w:space="0"/>
              <w:bottom w:val="single" w:color="auto" w:sz="4" w:space="0"/>
            </w:tcBorders>
            <w:noWrap w:val="0"/>
            <w:vAlign w:val="center"/>
          </w:tcPr>
          <w:p>
            <w:pPr>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2020年底前</w:t>
            </w:r>
          </w:p>
        </w:tc>
      </w:tr>
    </w:tbl>
    <w:p>
      <w:pPr>
        <w:rPr>
          <w:rFonts w:hint="eastAsia" w:ascii="宋体" w:hAnsi="宋体" w:eastAsia="宋体" w:cs="宋体"/>
          <w:color w:val="auto"/>
          <w:sz w:val="32"/>
          <w:szCs w:val="32"/>
        </w:rPr>
        <w:sectPr>
          <w:pgSz w:w="16838" w:h="11906" w:orient="landscape"/>
          <w:pgMar w:top="1588" w:right="1588" w:bottom="1588" w:left="1588" w:header="851" w:footer="1191" w:gutter="0"/>
          <w:cols w:space="425" w:num="1"/>
          <w:docGrid w:linePitch="979" w:charSpace="0"/>
        </w:sectPr>
      </w:pPr>
    </w:p>
    <w:p>
      <w:pPr>
        <w:rPr>
          <w:rFonts w:hint="eastAsia" w:ascii="宋体" w:hAnsi="宋体" w:eastAsia="宋体" w:cs="宋体"/>
          <w:color w:val="auto"/>
          <w:sz w:val="32"/>
          <w:szCs w:val="32"/>
        </w:rPr>
      </w:pPr>
    </w:p>
    <w:p>
      <w:pPr>
        <w:ind w:firstLine="640" w:firstLineChars="200"/>
        <w:rPr>
          <w:rFonts w:hint="eastAsia" w:ascii="宋体" w:hAnsi="宋体" w:eastAsia="宋体" w:cs="宋体"/>
          <w:color w:val="auto"/>
          <w:sz w:val="32"/>
          <w:szCs w:val="32"/>
        </w:rPr>
      </w:pPr>
    </w:p>
    <w:p>
      <w:pPr>
        <w:ind w:firstLine="640" w:firstLineChars="200"/>
        <w:rPr>
          <w:rFonts w:hint="eastAsia" w:ascii="宋体" w:hAnsi="宋体" w:eastAsia="宋体" w:cs="宋体"/>
          <w:color w:val="auto"/>
          <w:sz w:val="32"/>
          <w:szCs w:val="32"/>
        </w:rPr>
      </w:pPr>
    </w:p>
    <w:p>
      <w:pPr>
        <w:ind w:firstLine="640" w:firstLineChars="200"/>
        <w:rPr>
          <w:rFonts w:hint="eastAsia" w:ascii="仿宋_GB2312" w:eastAsia="仿宋_GB2312"/>
          <w:color w:val="auto"/>
          <w:sz w:val="32"/>
          <w:szCs w:val="32"/>
        </w:rPr>
      </w:pPr>
    </w:p>
    <w:p>
      <w:pPr>
        <w:ind w:firstLine="640" w:firstLineChars="200"/>
        <w:rPr>
          <w:rFonts w:hint="eastAsia" w:ascii="仿宋_GB2312" w:eastAsia="仿宋_GB2312"/>
          <w:color w:val="auto"/>
          <w:sz w:val="32"/>
          <w:szCs w:val="32"/>
        </w:rPr>
      </w:pPr>
    </w:p>
    <w:p>
      <w:pPr>
        <w:ind w:firstLine="640" w:firstLineChars="200"/>
        <w:rPr>
          <w:rFonts w:hint="eastAsia" w:ascii="仿宋_GB2312" w:eastAsia="仿宋_GB2312"/>
          <w:color w:val="auto"/>
          <w:sz w:val="32"/>
          <w:szCs w:val="32"/>
        </w:rPr>
      </w:pPr>
    </w:p>
    <w:p>
      <w:pPr>
        <w:ind w:firstLine="640" w:firstLineChars="200"/>
        <w:rPr>
          <w:rFonts w:hint="eastAsia" w:ascii="仿宋_GB2312" w:eastAsia="仿宋_GB2312"/>
          <w:color w:val="auto"/>
          <w:sz w:val="32"/>
          <w:szCs w:val="32"/>
        </w:rPr>
      </w:pPr>
    </w:p>
    <w:p>
      <w:pPr>
        <w:ind w:firstLine="640" w:firstLineChars="200"/>
        <w:rPr>
          <w:rFonts w:hint="eastAsia" w:ascii="仿宋_GB2312" w:eastAsia="仿宋_GB2312"/>
          <w:color w:val="auto"/>
          <w:sz w:val="32"/>
          <w:szCs w:val="32"/>
        </w:rPr>
      </w:pPr>
    </w:p>
    <w:p>
      <w:pPr>
        <w:ind w:firstLine="640" w:firstLineChars="200"/>
        <w:rPr>
          <w:rFonts w:hint="eastAsia" w:ascii="仿宋_GB2312" w:eastAsia="仿宋_GB2312"/>
          <w:color w:val="auto"/>
          <w:sz w:val="32"/>
          <w:szCs w:val="32"/>
        </w:rPr>
      </w:pPr>
    </w:p>
    <w:p>
      <w:pPr>
        <w:ind w:firstLine="640" w:firstLineChars="200"/>
        <w:rPr>
          <w:rFonts w:hint="eastAsia" w:ascii="仿宋_GB2312" w:eastAsia="仿宋_GB2312"/>
          <w:color w:val="auto"/>
          <w:sz w:val="32"/>
          <w:szCs w:val="32"/>
        </w:rPr>
      </w:pPr>
    </w:p>
    <w:p>
      <w:pPr>
        <w:ind w:firstLine="640" w:firstLineChars="200"/>
        <w:rPr>
          <w:rFonts w:hint="eastAsia" w:ascii="仿宋_GB2312" w:eastAsia="仿宋_GB2312"/>
          <w:color w:val="auto"/>
          <w:sz w:val="32"/>
          <w:szCs w:val="32"/>
        </w:rPr>
      </w:pPr>
    </w:p>
    <w:p>
      <w:pPr>
        <w:ind w:firstLine="640" w:firstLineChars="200"/>
        <w:rPr>
          <w:rFonts w:hint="eastAsia" w:ascii="仿宋_GB2312" w:eastAsia="仿宋_GB2312"/>
          <w:color w:val="auto"/>
          <w:sz w:val="32"/>
          <w:szCs w:val="32"/>
        </w:rPr>
      </w:pPr>
    </w:p>
    <w:p>
      <w:pPr>
        <w:ind w:firstLine="640" w:firstLineChars="200"/>
        <w:rPr>
          <w:rFonts w:hint="eastAsia" w:ascii="仿宋_GB2312" w:eastAsia="仿宋_GB2312"/>
          <w:color w:val="auto"/>
          <w:sz w:val="32"/>
          <w:szCs w:val="32"/>
        </w:rPr>
      </w:pPr>
    </w:p>
    <w:p>
      <w:pPr>
        <w:ind w:firstLine="640" w:firstLineChars="200"/>
        <w:rPr>
          <w:rFonts w:hint="eastAsia" w:ascii="仿宋_GB2312" w:eastAsia="仿宋_GB2312"/>
          <w:color w:val="auto"/>
          <w:sz w:val="32"/>
          <w:szCs w:val="32"/>
        </w:rPr>
      </w:pPr>
    </w:p>
    <w:p>
      <w:pPr>
        <w:ind w:firstLine="640" w:firstLineChars="200"/>
        <w:rPr>
          <w:rFonts w:hint="eastAsia" w:ascii="仿宋_GB2312" w:eastAsia="仿宋_GB2312"/>
          <w:color w:val="auto"/>
          <w:sz w:val="32"/>
          <w:szCs w:val="32"/>
        </w:rPr>
      </w:pPr>
    </w:p>
    <w:p>
      <w:pPr>
        <w:ind w:firstLine="640" w:firstLineChars="200"/>
        <w:rPr>
          <w:rFonts w:hint="eastAsia" w:ascii="仿宋_GB2312" w:eastAsia="仿宋_GB2312"/>
          <w:color w:val="auto"/>
          <w:sz w:val="32"/>
          <w:szCs w:val="32"/>
        </w:rPr>
      </w:pPr>
    </w:p>
    <w:p>
      <w:pPr>
        <w:ind w:firstLine="640" w:firstLineChars="200"/>
        <w:rPr>
          <w:rFonts w:hint="eastAsia" w:ascii="仿宋_GB2312" w:eastAsia="仿宋_GB2312"/>
          <w:color w:val="auto"/>
          <w:sz w:val="32"/>
          <w:szCs w:val="32"/>
        </w:rPr>
      </w:pPr>
    </w:p>
    <w:p>
      <w:pPr>
        <w:ind w:firstLine="5120" w:firstLineChars="1600"/>
        <w:jc w:val="both"/>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共青科技职业学院综治办</w:t>
      </w:r>
    </w:p>
    <w:p>
      <w:pPr>
        <w:ind w:firstLine="2240" w:firstLineChars="700"/>
        <w:jc w:val="cente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2020年8月12日</w:t>
      </w:r>
    </w:p>
    <w:sectPr>
      <w:pgSz w:w="11906" w:h="16838"/>
      <w:pgMar w:top="2098" w:right="1588" w:bottom="1871" w:left="1588" w:header="851" w:footer="1191" w:gutter="0"/>
      <w:cols w:space="425" w:num="1"/>
      <w:docGrid w:linePitch="9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宋体" w:hAnsi="宋体" w:eastAsia="宋体"/>
        <w:color w:val="FFFFFF"/>
        <w:sz w:val="28"/>
        <w:szCs w:val="28"/>
        <w:lang w:eastAsia="zh-CN"/>
      </w:rPr>
    </w:pPr>
    <w:r>
      <w:rPr>
        <w:rFonts w:hint="eastAsia" w:ascii="宋体" w:hAnsi="宋体" w:eastAsia="宋体"/>
        <w:color w:val="FFFFFF"/>
        <w:sz w:val="28"/>
        <w:szCs w:val="28"/>
        <w:lang w:eastAsia="zh-CN"/>
      </w:rPr>
      <w:t>—</w:t>
    </w:r>
    <w:r>
      <w:rPr>
        <w:rFonts w:hint="eastAsia" w:ascii="宋体" w:hAnsi="宋体" w:eastAsia="宋体"/>
        <w:color w:val="000000"/>
        <w:sz w:val="28"/>
        <w:szCs w:val="28"/>
        <w:lang w:eastAsia="zh-CN"/>
      </w:rPr>
      <w:t xml:space="preserve">— </w:t>
    </w:r>
    <w:r>
      <w:rPr>
        <w:rFonts w:ascii="宋体" w:hAnsi="宋体" w:eastAsia="宋体"/>
        <w:color w:val="000000"/>
        <w:sz w:val="28"/>
        <w:szCs w:val="28"/>
      </w:rPr>
      <w:fldChar w:fldCharType="begin"/>
    </w:r>
    <w:r>
      <w:rPr>
        <w:rFonts w:ascii="宋体" w:hAnsi="宋体" w:eastAsia="宋体"/>
        <w:color w:val="000000"/>
        <w:sz w:val="28"/>
        <w:szCs w:val="28"/>
      </w:rPr>
      <w:instrText xml:space="preserve"> PAGE   \* MERGEFORMAT </w:instrText>
    </w:r>
    <w:r>
      <w:rPr>
        <w:rFonts w:ascii="宋体" w:hAnsi="宋体" w:eastAsia="宋体"/>
        <w:color w:val="000000"/>
        <w:sz w:val="28"/>
        <w:szCs w:val="28"/>
      </w:rPr>
      <w:fldChar w:fldCharType="separate"/>
    </w:r>
    <w:r>
      <w:rPr>
        <w:rFonts w:ascii="宋体" w:hAnsi="宋体" w:eastAsia="宋体"/>
        <w:color w:val="000000"/>
        <w:sz w:val="28"/>
        <w:szCs w:val="28"/>
        <w:lang w:val="zh-CN"/>
      </w:rPr>
      <w:t>15</w:t>
    </w:r>
    <w:r>
      <w:rPr>
        <w:rFonts w:ascii="宋体" w:hAnsi="宋体" w:eastAsia="宋体"/>
        <w:color w:val="000000"/>
        <w:sz w:val="28"/>
        <w:szCs w:val="28"/>
      </w:rPr>
      <w:fldChar w:fldCharType="end"/>
    </w:r>
    <w:r>
      <w:rPr>
        <w:rFonts w:hint="eastAsia" w:ascii="宋体" w:hAnsi="宋体" w:eastAsia="宋体"/>
        <w:color w:val="000000"/>
        <w:sz w:val="28"/>
        <w:szCs w:val="28"/>
        <w:lang w:eastAsia="zh-CN"/>
      </w:rPr>
      <w:t xml:space="preserve"> —</w:t>
    </w:r>
    <w:r>
      <w:rPr>
        <w:rFonts w:hint="eastAsia" w:ascii="宋体" w:hAnsi="宋体" w:eastAsia="宋体"/>
        <w:color w:val="FFFFFF"/>
        <w:sz w:val="28"/>
        <w:szCs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color w:val="000000"/>
        <w:sz w:val="28"/>
        <w:szCs w:val="28"/>
        <w:lang w:eastAsia="zh-CN"/>
      </w:rPr>
    </w:pPr>
    <w:r>
      <w:rPr>
        <w:rFonts w:hint="eastAsia" w:ascii="宋体" w:hAnsi="宋体" w:eastAsia="宋体"/>
        <w:color w:val="FFFFFF"/>
        <w:sz w:val="28"/>
        <w:szCs w:val="28"/>
        <w:lang w:eastAsia="zh-CN"/>
      </w:rPr>
      <w:t>—</w:t>
    </w:r>
    <w:r>
      <w:rPr>
        <w:rFonts w:hint="eastAsia" w:ascii="宋体" w:hAnsi="宋体" w:eastAsia="宋体"/>
        <w:color w:val="000000"/>
        <w:sz w:val="28"/>
        <w:szCs w:val="28"/>
        <w:lang w:eastAsia="zh-CN"/>
      </w:rPr>
      <w:t xml:space="preserve">— </w:t>
    </w:r>
    <w:r>
      <w:rPr>
        <w:rFonts w:ascii="宋体" w:hAnsi="宋体" w:eastAsia="宋体"/>
        <w:color w:val="000000"/>
        <w:sz w:val="28"/>
        <w:szCs w:val="28"/>
      </w:rPr>
      <w:fldChar w:fldCharType="begin"/>
    </w:r>
    <w:r>
      <w:rPr>
        <w:rFonts w:ascii="宋体" w:hAnsi="宋体" w:eastAsia="宋体"/>
        <w:color w:val="000000"/>
        <w:sz w:val="28"/>
        <w:szCs w:val="28"/>
      </w:rPr>
      <w:instrText xml:space="preserve"> PAGE   \* MERGEFORMAT </w:instrText>
    </w:r>
    <w:r>
      <w:rPr>
        <w:rFonts w:ascii="宋体" w:hAnsi="宋体" w:eastAsia="宋体"/>
        <w:color w:val="000000"/>
        <w:sz w:val="28"/>
        <w:szCs w:val="28"/>
      </w:rPr>
      <w:fldChar w:fldCharType="separate"/>
    </w:r>
    <w:r>
      <w:rPr>
        <w:rFonts w:ascii="宋体" w:hAnsi="宋体" w:eastAsia="宋体"/>
        <w:color w:val="000000"/>
        <w:sz w:val="28"/>
        <w:szCs w:val="28"/>
        <w:lang w:val="zh-CN"/>
      </w:rPr>
      <w:t>16</w:t>
    </w:r>
    <w:r>
      <w:rPr>
        <w:rFonts w:ascii="宋体" w:hAnsi="宋体" w:eastAsia="宋体"/>
        <w:color w:val="000000"/>
        <w:sz w:val="28"/>
        <w:szCs w:val="28"/>
      </w:rPr>
      <w:fldChar w:fldCharType="end"/>
    </w:r>
    <w:r>
      <w:rPr>
        <w:rFonts w:hint="eastAsia" w:ascii="宋体" w:hAnsi="宋体" w:eastAsia="宋体"/>
        <w:color w:val="000000"/>
        <w:sz w:val="28"/>
        <w:szCs w:val="28"/>
        <w:lang w:eastAsia="zh-CN"/>
      </w:rPr>
      <w:t xml:space="preserve"> —</w:t>
    </w:r>
    <w:r>
      <w:rPr>
        <w:rFonts w:hint="eastAsia" w:ascii="宋体" w:hAnsi="宋体" w:eastAsia="宋体"/>
        <w:color w:val="FFFFFF"/>
        <w:sz w:val="28"/>
        <w:szCs w:val="28"/>
        <w:lang w:eastAsia="zh-CN"/>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BA8BA0"/>
    <w:multiLevelType w:val="singleLevel"/>
    <w:tmpl w:val="C5BA8BA0"/>
    <w:lvl w:ilvl="0" w:tentative="0">
      <w:start w:val="1"/>
      <w:numFmt w:val="chineseCounting"/>
      <w:suff w:val="nothing"/>
      <w:lvlText w:val="（%1）"/>
      <w:lvlJc w:val="left"/>
      <w:pPr>
        <w:ind w:left="0" w:firstLine="420"/>
      </w:pPr>
      <w:rPr>
        <w:rFonts w:hint="eastAsia"/>
      </w:rPr>
    </w:lvl>
  </w:abstractNum>
  <w:abstractNum w:abstractNumId="1">
    <w:nsid w:val="D1D80417"/>
    <w:multiLevelType w:val="singleLevel"/>
    <w:tmpl w:val="D1D8041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9589B"/>
    <w:rsid w:val="030F4493"/>
    <w:rsid w:val="252D1E76"/>
    <w:rsid w:val="2FF65C70"/>
    <w:rsid w:val="309C3C2E"/>
    <w:rsid w:val="35B9199F"/>
    <w:rsid w:val="37472B6F"/>
    <w:rsid w:val="398F2792"/>
    <w:rsid w:val="3BF9589B"/>
    <w:rsid w:val="49C27089"/>
    <w:rsid w:val="4B793F4C"/>
    <w:rsid w:val="5A6F5CC3"/>
    <w:rsid w:val="61437252"/>
    <w:rsid w:val="6A1E3A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方正小标宋简体" w:hAnsi="华文中宋" w:eastAsia="方正小标宋简体" w:cs="宋体"/>
      <w:snapToGrid w:val="0"/>
      <w:color w:val="FF0000"/>
      <w:sz w:val="72"/>
      <w:szCs w:val="7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spacing w:line="240" w:lineRule="atLeast"/>
      <w:jc w:val="left"/>
    </w:pPr>
    <w:rPr>
      <w:rFonts w:cs="Times New Roman"/>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2020-09-23T00:33:00Z</dcterms:created>
  <dc:creator>胡敏初</dc:creator>
  <cp:lastModifiedBy>胡敏初</cp:lastModifiedBy>
  <dcterms:modified xsi:type="dcterms:W3CDTF">2020-09-30T01:04:18Z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